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2025FW125</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2025、2026年度财务报告、财务收支、内部控制及风险管理专项审计项目</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十一月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5875"/>
      <w:bookmarkStart w:id="1" w:name="_Toc23588"/>
      <w:bookmarkStart w:id="2" w:name="_Toc12789052"/>
      <w:bookmarkStart w:id="3" w:name="_Toc6921"/>
      <w:bookmarkStart w:id="4" w:name="_Toc11641050"/>
      <w:bookmarkStart w:id="5" w:name="_Toc485108766"/>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2025、2026年度财务报告、财务收支、内部控制及风险管理专项审计项目</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485108767"/>
      <w:bookmarkStart w:id="9" w:name="_Toc28443"/>
      <w:bookmarkStart w:id="10" w:name="_Toc313893526"/>
      <w:bookmarkStart w:id="11"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2025、2026年度财务报告、财务收支、内部控制及风险管理专项审计项目</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spacing w:line="560" w:lineRule="exact"/>
        <w:jc w:val="left"/>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：医院自筹,预算金额：13万元/年 两年共计26万元。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102227313"/>
      <w:bookmarkStart w:id="19" w:name="_Toc485108774"/>
    </w:p>
    <w:p w14:paraId="748D04E3">
      <w:pPr>
        <w:spacing w:line="48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1.响应人为具备有效审计资质的会计师事务所，且须入围重庆市财政局购买专业服务供应商框架协议采购（会计师事务所）（CQS23C00463）框架协议。</w:t>
      </w:r>
    </w:p>
    <w:p w14:paraId="49CEBA49">
      <w:pPr>
        <w:spacing w:line="48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具有履行合同所必需的专业技术能力（本项目所派驻的注册会计师及其他人员，必须是响应人的在职工作人员）</w:t>
      </w:r>
      <w:r>
        <w:rPr>
          <w:rFonts w:hint="eastAsia" w:ascii="宋体" w:hAnsi="宋体" w:eastAsia="宋体" w:cs="宋体"/>
          <w:color w:val="FF0000"/>
          <w:sz w:val="24"/>
          <w:szCs w:val="24"/>
          <w:shd w:val="clear" w:color="auto" w:fill="auto"/>
          <w:lang w:eastAsia="zh-CN"/>
        </w:rPr>
        <w:t>，提供</w:t>
      </w:r>
      <w:r>
        <w:rPr>
          <w:rFonts w:hint="eastAsia" w:ascii="宋体" w:hAnsi="宋体" w:eastAsia="宋体" w:cs="宋体"/>
          <w:color w:val="FF0000"/>
          <w:sz w:val="24"/>
          <w:szCs w:val="24"/>
          <w:shd w:val="clear" w:color="auto" w:fill="auto"/>
          <w:lang w:val="en-US" w:eastAsia="zh-CN"/>
        </w:rPr>
        <w:t>2025年连续三个月的社保记录并加盖公章。</w:t>
      </w:r>
    </w:p>
    <w:p w14:paraId="54D434CB">
      <w:pPr>
        <w:spacing w:line="48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w:t>
      </w:r>
      <w:bookmarkStart w:id="189" w:name="_GoBack"/>
      <w:bookmarkEnd w:id="189"/>
      <w:r>
        <w:rPr>
          <w:rFonts w:hint="eastAsia" w:ascii="宋体" w:hAnsi="宋体" w:eastAsia="宋体" w:cs="宋体"/>
          <w:b/>
          <w:bCs/>
          <w:color w:val="000000" w:themeColor="text1"/>
          <w:sz w:val="24"/>
          <w:szCs w:val="24"/>
          <w:shd w:val="clear" w:color="auto" w:fill="auto"/>
          <w14:textFill>
            <w14:solidFill>
              <w14:schemeClr w14:val="tx1"/>
            </w14:solidFill>
          </w14:textFill>
        </w:rPr>
        <w:t>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1441A98">
      <w:p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本项目为包干价，包括完成本项目所需的服务费、报告和资料费、差旅费、餐费及各种应纳的税费等各项费用。因成交供应商自身原因造成漏报、少报皆由其自行承担责任，采购人不再补偿。(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3"/>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9143"/>
      <w:bookmarkStart w:id="41" w:name="_Toc18122"/>
      <w:bookmarkStart w:id="42" w:name="_Toc403569780"/>
      <w:bookmarkStart w:id="43" w:name="_Toc179714298"/>
      <w:bookmarkStart w:id="44" w:name="_Toc342913393"/>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403569782"/>
      <w:bookmarkStart w:id="53"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403569783"/>
      <w:bookmarkStart w:id="55" w:name="_Toc7135"/>
      <w:bookmarkStart w:id="56" w:name="_Toc102227321"/>
      <w:bookmarkStart w:id="57" w:name="_Toc3212"/>
      <w:bookmarkStart w:id="58" w:name="_Toc34291339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12880"/>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6381"/>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485108787"/>
      <w:bookmarkStart w:id="72" w:name="_Toc28327"/>
      <w:bookmarkStart w:id="73"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609D45A7">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bookmarkStart w:id="74" w:name="_Toc4364"/>
      <w:bookmarkStart w:id="75" w:name="_Toc17014"/>
      <w:r>
        <w:rPr>
          <w:rFonts w:hint="eastAsia" w:ascii="宋体" w:hAnsi="宋体" w:eastAsia="宋体" w:cs="宋体"/>
          <w:color w:val="FF0000"/>
          <w:sz w:val="24"/>
          <w:szCs w:val="24"/>
          <w:shd w:val="clear" w:color="auto" w:fill="auto"/>
          <w:lang w:val="en-US" w:eastAsia="zh-CN"/>
        </w:rPr>
        <w:t>1.项目内容</w:t>
      </w:r>
    </w:p>
    <w:p w14:paraId="1554E904">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（1）医院2025、2026年度财务报表审计。</w:t>
      </w:r>
    </w:p>
    <w:p w14:paraId="3365EA44">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（2）医院2025、2026年度财务收支专项审计。</w:t>
      </w:r>
    </w:p>
    <w:p w14:paraId="4A77B16E">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（3）医院2025、2026年内部控制及风险管理情况专项审计及评价、风险评估。</w:t>
      </w:r>
    </w:p>
    <w:p w14:paraId="26CE4FA4">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（4）汇总出具管理建议书。</w:t>
      </w:r>
    </w:p>
    <w:p w14:paraId="65036511">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2.项目要求：</w:t>
      </w:r>
    </w:p>
    <w:p w14:paraId="55C482B6">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医院财务报表审计：按照政府会计准则、《政府会计制度》及国家其他有关法律法规对医院编制的年度财务报表进行审计，对财务报表的下列方面发表意见：①财务报表是否在所有重大方面按照事业单位会计准则、《政府会计制度》及国家其他有关法律法规编制；②财务报表是否在所有重大方面公允反映医院的财务状况和业务开展经营成果和现金流量。</w:t>
      </w:r>
    </w:p>
    <w:p w14:paraId="1D8F5141">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 xml:space="preserve">（2）医院财务收支专项审计：主要内容包括预算执行情况；预决算编制和资金安排；“三重一大”集体决策执行和落实情况；内部控制制度的建设和执行情况；财务管理及财政收支、财务收支预算执行情况和决策的 真实性情况；财务收支核算的合规性；预算外资金的收支及管理情况；专项资金使用管理情况；债权债务管控情况；国有资产使用管理情况；大额资金往来情况；基本建设工程项目管理情况；政府采购和非政府采购管理情况；一般支出管控；审计整改情况；其他应审计事项。 </w:t>
      </w:r>
    </w:p>
    <w:p w14:paraId="4C717C31">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重点关注：（1）财务收入方面关注：①未经财政部门会同物价管理部门批准进行收费。②应缴未缴财政专户和没有及时足额上缴财政及坐支应 缴未缴收入。③账外资金形成“小金库”。④不按规定使用财政部门统一印制或监制的收费票据。</w:t>
      </w:r>
    </w:p>
    <w:p w14:paraId="5E6B9DD4">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财务支出方面关注：①发放各种补贴、奖金未经财政等部门批准。②应交未交各种税金及附加。③挤占、挪用专项资金。④虚假发票报账。⑤乱列支出。⑥虚列支出。⑦购置固定资产未记入单位的固定资产账。⑧超越单位权限处置资产。</w:t>
      </w:r>
    </w:p>
    <w:p w14:paraId="4C4B05F0">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（3）财务其他方面关注：①往来款账中长期挂账。②其他需要注意的问题。</w:t>
      </w:r>
    </w:p>
    <w:p w14:paraId="7BDD41A4">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 医院内部控制及风险管理情况专项审计及评价、风险评估：根据《财政部关于全面推行行政事业单位内部控制建设的指导意见》（财会〔2015〕24号）和《关于印发公立医院内部控制管理办法的通知》（国卫财务发〔2020〕31号）、关于印发《关于进一步加强公立医院内部控制建设的指导意见》的通知（财会〔2023〕31号），对医院内部控制及风险管理情况进行审计，出具专项审计报告，对医院经济活动及相关业务活动进行风险评估，出具风险评估报告，参照《国家卫生健康委办公厅关于印发卫生健康行业内部审计基本指引（试行）等7个工作指引的通知》（国卫办财务函〔2023〕416号）中的《内部控制评价工作指引（试行）》，对医院内部控制设计有效性和内部控制运行有效性进行评价，编制内部控制评价报告（内容包括但不限于：真实性声明、总体情况、评价依据、评价范围、评价程序和方法、评价结论等）。</w:t>
      </w:r>
    </w:p>
    <w:p w14:paraId="2DEDE276">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4.参选供应商比选文件还应包含：</w:t>
      </w:r>
    </w:p>
    <w:p w14:paraId="049240F1">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 xml:space="preserve">①项目工作方案。 </w:t>
      </w:r>
    </w:p>
    <w:p w14:paraId="1314A18A">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②项目组成员及分工、项目保障措施以及复核等质量保证手段。</w:t>
      </w:r>
    </w:p>
    <w:p w14:paraId="5B186522">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 xml:space="preserve">③项目完成时间。 </w:t>
      </w:r>
    </w:p>
    <w:p w14:paraId="6B500CD5">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 xml:space="preserve">④近三年的工作业绩。 </w:t>
      </w:r>
    </w:p>
    <w:p w14:paraId="00017D17">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p>
    <w:p w14:paraId="0F7A97CB">
      <w:pPr>
        <w:snapToGrid w:val="0"/>
        <w:spacing w:line="400" w:lineRule="exact"/>
        <w:ind w:firstLine="480" w:firstLineChars="200"/>
        <w:rPr>
          <w:rFonts w:hint="default" w:ascii="宋体" w:hAnsi="宋体" w:eastAsia="宋体" w:cs="宋体"/>
          <w:color w:val="FF0000"/>
          <w:sz w:val="24"/>
          <w:szCs w:val="24"/>
          <w:shd w:val="clear" w:color="auto" w:fill="auto"/>
          <w:lang w:val="en-US" w:eastAsia="zh-CN"/>
        </w:rPr>
      </w:pPr>
    </w:p>
    <w:p w14:paraId="3A2ECA53">
      <w:pPr>
        <w:numPr>
          <w:ilvl w:val="0"/>
          <w:numId w:val="0"/>
        </w:num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p>
    <w:p w14:paraId="1B4AFA1F">
      <w:pPr>
        <w:numPr>
          <w:ilvl w:val="0"/>
          <w:numId w:val="0"/>
        </w:numPr>
        <w:snapToGrid w:val="0"/>
        <w:spacing w:line="400" w:lineRule="exact"/>
        <w:rPr>
          <w:rFonts w:hint="default" w:ascii="宋体" w:hAnsi="宋体" w:eastAsia="宋体" w:cs="宋体"/>
          <w:color w:val="FF0000"/>
          <w:sz w:val="24"/>
          <w:szCs w:val="24"/>
          <w:shd w:val="clear" w:color="auto" w:fill="auto"/>
          <w:lang w:val="en-US" w:eastAsia="zh-CN"/>
        </w:rPr>
      </w:pPr>
    </w:p>
    <w:p w14:paraId="0DE01E5C">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p>
    <w:p w14:paraId="125E450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117FA4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26FCD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629A0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2B24B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591F34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117AC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A8FB82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7DEB9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BFDA216">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47B370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481816A">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9D5F6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8A2C73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1303377">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E9C419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0F3A883">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F3824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900512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03569795"/>
      <w:bookmarkStart w:id="81"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607370C">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1.报告时间：①每年3月31日前出具内部控制及风险管理情况专项审计报告、风险评估报告、内部控制评价报告。</w:t>
      </w:r>
    </w:p>
    <w:p w14:paraId="0C6B7FD2">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②每年6月30日前出具财务报表审计报告、财务收支专项审计报告、管理建议书。</w:t>
      </w:r>
    </w:p>
    <w:p w14:paraId="732A654E">
      <w:pPr>
        <w:numPr>
          <w:ilvl w:val="0"/>
          <w:numId w:val="0"/>
        </w:num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kern w:val="2"/>
          <w:sz w:val="24"/>
          <w:szCs w:val="24"/>
          <w:shd w:val="clear" w:fill="auto"/>
          <w:lang w:val="en-US" w:eastAsia="zh-CN" w:bidi="ar-SA"/>
        </w:rPr>
        <w:t>2.</w:t>
      </w:r>
      <w:r>
        <w:rPr>
          <w:rFonts w:hint="eastAsia" w:ascii="宋体" w:hAnsi="宋体" w:eastAsia="宋体" w:cs="宋体"/>
          <w:color w:val="FF0000"/>
          <w:sz w:val="24"/>
          <w:szCs w:val="24"/>
          <w:shd w:val="clear" w:color="auto" w:fill="auto"/>
          <w:lang w:val="en-US" w:eastAsia="zh-CN"/>
        </w:rPr>
        <w:t>出具专项审计报告的同时提交按照审计档案管理相关规定汇总整理的审计项目的档案资料（包括但不限于审计方案、审计工作底稿、审计取证记录及审计证据材料、审计报告征求意见单、审计报告（含征求意见稿）等）</w:t>
      </w:r>
    </w:p>
    <w:p w14:paraId="5FBF5EE9">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3.参选供应商承诺不将所中标业务转包或分包给其他社会中介机构。（提供承诺函，加盖公章，格式自拟）</w:t>
      </w:r>
    </w:p>
    <w:p w14:paraId="6A66AFC2">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4.服务年限：2年</w:t>
      </w:r>
    </w:p>
    <w:p w14:paraId="0A5EBF88">
      <w:pPr>
        <w:numPr>
          <w:ilvl w:val="0"/>
          <w:numId w:val="0"/>
        </w:num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5.付款方式：每年成交供应商按时完成相应工作内容，采购方收到所有正式报告和发票后60日内支付当年服务费用。</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26989"/>
      <w:bookmarkStart w:id="83" w:name="_Toc403569796"/>
      <w:bookmarkStart w:id="84" w:name="_Toc14840"/>
      <w:bookmarkStart w:id="85" w:name="_Toc15711"/>
      <w:bookmarkStart w:id="86" w:name="_Toc485108794"/>
      <w:bookmarkStart w:id="87" w:name="_Toc148265480"/>
      <w:bookmarkStart w:id="88" w:name="_Toc30394582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241"/>
      <w:bookmarkStart w:id="10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54718212"/>
      <w:bookmarkStart w:id="12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485108795"/>
      <w:bookmarkStart w:id="136" w:name="_Toc13696"/>
      <w:bookmarkStart w:id="137" w:name="_Toc29521"/>
      <w:bookmarkStart w:id="138" w:name="_Toc14085"/>
      <w:bookmarkStart w:id="139"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21293"/>
      <w:bookmarkStart w:id="148" w:name="_Toc5685"/>
      <w:bookmarkStart w:id="149"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485108796"/>
      <w:bookmarkStart w:id="152" w:name="_Toc342913419"/>
      <w:bookmarkStart w:id="153" w:name="_Toc480979018"/>
      <w:bookmarkStart w:id="154" w:name="_Toc313888360"/>
      <w:bookmarkStart w:id="155" w:name="_Toc5565"/>
      <w:bookmarkStart w:id="156" w:name="_Toc313008356"/>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2872A86F">
      <w:pPr>
        <w:spacing w:line="560" w:lineRule="exact"/>
        <w:ind w:firstLine="0" w:firstLineChars="0"/>
        <w:jc w:val="center"/>
        <w:rPr>
          <w:sz w:val="28"/>
          <w:szCs w:val="28"/>
        </w:rPr>
      </w:pPr>
      <w:bookmarkStart w:id="159" w:name="_Toc485108797"/>
      <w:bookmarkStart w:id="160" w:name="_Toc480979019"/>
      <w:bookmarkStart w:id="161" w:name="_Toc313888361"/>
      <w:bookmarkStart w:id="162" w:name="_Toc313008357"/>
      <w:bookmarkStart w:id="163" w:name="_Toc342913420"/>
      <w:bookmarkStart w:id="164" w:name="_Toc12908"/>
      <w:bookmarkStart w:id="165" w:name="_Toc9883"/>
      <w:r>
        <w:rPr>
          <w:sz w:val="28"/>
          <w:szCs w:val="28"/>
        </w:rPr>
        <w:t>报价表</w:t>
      </w:r>
    </w:p>
    <w:p w14:paraId="46D62140">
      <w:pPr>
        <w:spacing w:line="560" w:lineRule="exact"/>
        <w:ind w:firstLine="0" w:firstLineChars="0"/>
        <w:rPr>
          <w:sz w:val="28"/>
          <w:szCs w:val="28"/>
        </w:rPr>
      </w:pPr>
    </w:p>
    <w:tbl>
      <w:tblPr>
        <w:tblStyle w:val="59"/>
        <w:tblW w:w="7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5"/>
        <w:gridCol w:w="3804"/>
        <w:gridCol w:w="1854"/>
      </w:tblGrid>
      <w:tr w14:paraId="2269D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855" w:type="dxa"/>
            <w:noWrap w:val="0"/>
            <w:vAlign w:val="center"/>
          </w:tcPr>
          <w:p w14:paraId="5863C713">
            <w:pPr>
              <w:ind w:firstLine="0" w:firstLineChars="0"/>
              <w:jc w:val="center"/>
              <w:rPr>
                <w:sz w:val="24"/>
              </w:rPr>
            </w:pPr>
            <w:r>
              <w:rPr>
                <w:sz w:val="24"/>
              </w:rPr>
              <w:t>项目名称</w:t>
            </w:r>
          </w:p>
        </w:tc>
        <w:tc>
          <w:tcPr>
            <w:tcW w:w="3804" w:type="dxa"/>
            <w:noWrap w:val="0"/>
            <w:vAlign w:val="center"/>
          </w:tcPr>
          <w:p w14:paraId="2DEA1908">
            <w:pPr>
              <w:ind w:firstLine="0" w:firstLineChars="0"/>
              <w:jc w:val="center"/>
              <w:rPr>
                <w:rFonts w:hint="eastAsia" w:eastAsiaTheme="minorEastAsia"/>
                <w:sz w:val="24"/>
                <w:lang w:eastAsia="zh-CN"/>
              </w:rPr>
            </w:pPr>
            <w:r>
              <w:rPr>
                <w:sz w:val="24"/>
              </w:rPr>
              <w:t>单价</w:t>
            </w:r>
            <w:r>
              <w:rPr>
                <w:rFonts w:hint="eastAsia"/>
                <w:sz w:val="24"/>
                <w:lang w:eastAsia="zh-CN"/>
              </w:rPr>
              <w:t>（元</w:t>
            </w:r>
            <w:r>
              <w:rPr>
                <w:rFonts w:hint="eastAsia"/>
                <w:sz w:val="24"/>
                <w:lang w:val="en-US" w:eastAsia="zh-CN"/>
              </w:rPr>
              <w:t>/年</w:t>
            </w:r>
            <w:r>
              <w:rPr>
                <w:rFonts w:hint="eastAsia"/>
                <w:sz w:val="24"/>
                <w:lang w:eastAsia="zh-CN"/>
              </w:rPr>
              <w:t>）</w:t>
            </w:r>
          </w:p>
        </w:tc>
        <w:tc>
          <w:tcPr>
            <w:tcW w:w="1854" w:type="dxa"/>
            <w:noWrap w:val="0"/>
            <w:vAlign w:val="center"/>
          </w:tcPr>
          <w:p w14:paraId="50ED67DB">
            <w:pPr>
              <w:ind w:firstLine="0" w:firstLineChars="0"/>
              <w:jc w:val="center"/>
              <w:rPr>
                <w:rFonts w:hint="eastAsia" w:eastAsiaTheme="minorEastAsia"/>
                <w:sz w:val="24"/>
                <w:lang w:eastAsia="zh-CN"/>
              </w:rPr>
            </w:pPr>
            <w:r>
              <w:rPr>
                <w:rFonts w:hint="eastAsia"/>
                <w:sz w:val="24"/>
                <w:lang w:eastAsia="zh-CN"/>
              </w:rPr>
              <w:t>两年共计（元）</w:t>
            </w:r>
          </w:p>
        </w:tc>
      </w:tr>
      <w:tr w14:paraId="21F5B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jc w:val="center"/>
        </w:trPr>
        <w:tc>
          <w:tcPr>
            <w:tcW w:w="1855" w:type="dxa"/>
            <w:noWrap w:val="0"/>
            <w:vAlign w:val="center"/>
          </w:tcPr>
          <w:p w14:paraId="489ADFC8">
            <w:pPr>
              <w:ind w:firstLine="0" w:firstLineChars="0"/>
              <w:jc w:val="center"/>
              <w:rPr>
                <w:sz w:val="24"/>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2025、2026年度财务报告、财务收支、内部控制及风险管理专项审计项目</w:t>
            </w:r>
          </w:p>
        </w:tc>
        <w:tc>
          <w:tcPr>
            <w:tcW w:w="3804" w:type="dxa"/>
            <w:noWrap w:val="0"/>
            <w:vAlign w:val="center"/>
          </w:tcPr>
          <w:p w14:paraId="0BDD2B14">
            <w:pPr>
              <w:ind w:firstLine="0" w:firstLineChars="0"/>
              <w:jc w:val="center"/>
              <w:rPr>
                <w:sz w:val="24"/>
              </w:rPr>
            </w:pPr>
          </w:p>
        </w:tc>
        <w:tc>
          <w:tcPr>
            <w:tcW w:w="1854" w:type="dxa"/>
            <w:noWrap w:val="0"/>
            <w:vAlign w:val="center"/>
          </w:tcPr>
          <w:p w14:paraId="77EDC94B">
            <w:pPr>
              <w:ind w:firstLine="0" w:firstLineChars="0"/>
              <w:jc w:val="center"/>
              <w:rPr>
                <w:sz w:val="24"/>
              </w:rPr>
            </w:pPr>
          </w:p>
        </w:tc>
      </w:tr>
    </w:tbl>
    <w:p w14:paraId="3FA05514">
      <w:pPr>
        <w:tabs>
          <w:tab w:val="left" w:pos="1134"/>
        </w:tabs>
        <w:jc w:val="center"/>
        <w:rPr>
          <w:rFonts w:hint="eastAsia" w:ascii="黑体" w:hAnsi="黑体" w:eastAsia="黑体"/>
          <w:sz w:val="32"/>
          <w:szCs w:val="32"/>
          <w:lang w:eastAsia="zh-CN"/>
        </w:rPr>
      </w:pPr>
    </w:p>
    <w:p w14:paraId="46420D74">
      <w:pPr>
        <w:spacing w:line="400" w:lineRule="exact"/>
        <w:ind w:firstLine="560" w:firstLineChars="200"/>
        <w:rPr>
          <w:rFonts w:hint="eastAsia" w:ascii="宋体" w:hAnsi="宋体" w:eastAsia="宋体" w:cs="宋体"/>
          <w:color w:val="FF0000"/>
          <w:sz w:val="24"/>
          <w:szCs w:val="24"/>
          <w:shd w:val="clear" w:color="auto" w:fill="auto"/>
          <w:lang w:eastAsia="zh-CN"/>
        </w:rPr>
      </w:pPr>
      <w:r>
        <w:rPr>
          <w:rFonts w:hint="eastAsia" w:ascii="宋体" w:hAnsi="宋体"/>
          <w:sz w:val="28"/>
          <w:szCs w:val="28"/>
        </w:rPr>
        <w:t>备注：</w:t>
      </w:r>
      <w:r>
        <w:rPr>
          <w:rFonts w:hint="eastAsia" w:ascii="宋体" w:hAnsi="宋体" w:eastAsia="宋体" w:cs="宋体"/>
          <w:color w:val="FF0000"/>
          <w:sz w:val="24"/>
          <w:szCs w:val="24"/>
          <w:shd w:val="clear" w:color="auto" w:fill="auto"/>
          <w:lang w:val="en-US" w:eastAsia="zh-CN"/>
        </w:rPr>
        <w:t>1.本项目为包干价，包括完成本项目所需的服务费、报告和资料费、差旅费、餐费及各种应纳的税费等各项费用。因成交供应商自身原因造成漏报、少报皆由其自行承担责任，采购人不再补偿。</w:t>
      </w:r>
    </w:p>
    <w:p w14:paraId="297477C8">
      <w:pPr>
        <w:tabs>
          <w:tab w:val="left" w:pos="1134"/>
        </w:tabs>
        <w:jc w:val="center"/>
        <w:rPr>
          <w:rFonts w:hint="eastAsia" w:ascii="黑体" w:hAnsi="黑体" w:eastAsia="黑体"/>
          <w:sz w:val="32"/>
          <w:szCs w:val="32"/>
          <w:lang w:val="en-US" w:eastAsia="zh-CN"/>
        </w:rPr>
      </w:pPr>
    </w:p>
    <w:p w14:paraId="57CE5A31">
      <w:pPr>
        <w:tabs>
          <w:tab w:val="left" w:pos="1134"/>
        </w:tabs>
        <w:jc w:val="center"/>
        <w:rPr>
          <w:rFonts w:hint="eastAsia" w:ascii="黑体" w:hAnsi="黑体" w:eastAsia="黑体"/>
          <w:sz w:val="32"/>
          <w:szCs w:val="32"/>
          <w:lang w:val="en-US" w:eastAsia="zh-CN"/>
        </w:rPr>
      </w:pPr>
    </w:p>
    <w:p w14:paraId="065953EA">
      <w:pPr>
        <w:tabs>
          <w:tab w:val="left" w:pos="1134"/>
        </w:tabs>
        <w:jc w:val="center"/>
        <w:rPr>
          <w:rFonts w:hint="eastAsia" w:ascii="黑体" w:hAnsi="黑体" w:eastAsia="黑体"/>
          <w:sz w:val="32"/>
          <w:szCs w:val="32"/>
          <w:lang w:val="en-US" w:eastAsia="zh-CN"/>
        </w:rPr>
      </w:pPr>
    </w:p>
    <w:p w14:paraId="249C7754">
      <w:pPr>
        <w:tabs>
          <w:tab w:val="left" w:pos="1134"/>
        </w:tabs>
        <w:jc w:val="center"/>
        <w:rPr>
          <w:rFonts w:hint="eastAsia" w:ascii="黑体" w:hAnsi="黑体" w:eastAsia="黑体"/>
          <w:sz w:val="32"/>
          <w:szCs w:val="32"/>
          <w:lang w:val="en-US" w:eastAsia="zh-CN"/>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06B6B9B">
      <w:pPr>
        <w:tabs>
          <w:tab w:val="left" w:pos="1134"/>
        </w:tabs>
        <w:jc w:val="center"/>
        <w:rPr>
          <w:rFonts w:hint="eastAsia" w:ascii="黑体" w:hAnsi="黑体" w:eastAsia="黑体"/>
          <w:sz w:val="32"/>
          <w:szCs w:val="32"/>
          <w:lang w:val="en-US" w:eastAsia="zh-CN"/>
        </w:rPr>
      </w:pPr>
    </w:p>
    <w:p w14:paraId="24B502C4">
      <w:pPr>
        <w:outlineLvl w:val="0"/>
        <w:rPr>
          <w:rFonts w:hint="eastAsia" w:ascii="宋体" w:hAnsi="宋体" w:eastAsia="宋体" w:cs="宋体"/>
          <w:b/>
          <w:color w:val="000000" w:themeColor="text1"/>
          <w:shd w:val="clear" w:color="auto" w:fill="auto"/>
          <w14:textFill>
            <w14:solidFill>
              <w14:schemeClr w14:val="tx1"/>
            </w14:solidFill>
          </w14:textFill>
        </w:rPr>
      </w:pPr>
    </w:p>
    <w:p w14:paraId="26DBB76E">
      <w:pPr>
        <w:outlineLvl w:val="0"/>
        <w:rPr>
          <w:rFonts w:hint="eastAsia" w:ascii="宋体" w:hAnsi="宋体" w:eastAsia="宋体" w:cs="宋体"/>
          <w:b/>
          <w:color w:val="000000" w:themeColor="text1"/>
          <w:shd w:val="clear" w:color="auto" w:fill="auto"/>
          <w14:textFill>
            <w14:solidFill>
              <w14:schemeClr w14:val="tx1"/>
            </w14:solidFill>
          </w14:textFill>
        </w:rPr>
      </w:pPr>
    </w:p>
    <w:p w14:paraId="2CD5DA2C">
      <w:pPr>
        <w:outlineLvl w:val="0"/>
        <w:rPr>
          <w:rFonts w:hint="eastAsia" w:ascii="宋体" w:hAnsi="宋体" w:eastAsia="宋体" w:cs="宋体"/>
          <w:b/>
          <w:color w:val="000000" w:themeColor="text1"/>
          <w:shd w:val="clear" w:color="auto" w:fill="auto"/>
          <w14:textFill>
            <w14:solidFill>
              <w14:schemeClr w14:val="tx1"/>
            </w14:solidFill>
          </w14:textFill>
        </w:rPr>
      </w:pPr>
    </w:p>
    <w:p w14:paraId="58978C42">
      <w:pPr>
        <w:outlineLvl w:val="0"/>
        <w:rPr>
          <w:rFonts w:hint="eastAsia" w:ascii="宋体" w:hAnsi="宋体" w:eastAsia="宋体" w:cs="宋体"/>
          <w:b/>
          <w:color w:val="000000" w:themeColor="text1"/>
          <w:shd w:val="clear" w:color="auto" w:fill="auto"/>
          <w14:textFill>
            <w14:solidFill>
              <w14:schemeClr w14:val="tx1"/>
            </w14:solidFill>
          </w14:textFill>
        </w:rPr>
      </w:pPr>
    </w:p>
    <w:p w14:paraId="13ED3BCD">
      <w:pPr>
        <w:outlineLvl w:val="0"/>
        <w:rPr>
          <w:rFonts w:hint="eastAsia" w:ascii="宋体" w:hAnsi="宋体" w:eastAsia="宋体" w:cs="宋体"/>
          <w:b/>
          <w:color w:val="000000" w:themeColor="text1"/>
          <w:shd w:val="clear" w:color="auto" w:fill="auto"/>
          <w14:textFill>
            <w14:solidFill>
              <w14:schemeClr w14:val="tx1"/>
            </w14:solidFill>
          </w14:textFill>
        </w:rPr>
      </w:pPr>
    </w:p>
    <w:p w14:paraId="7F7CD0EC">
      <w:pPr>
        <w:outlineLvl w:val="0"/>
        <w:rPr>
          <w:rFonts w:hint="eastAsia" w:ascii="宋体" w:hAnsi="宋体" w:eastAsia="宋体" w:cs="宋体"/>
          <w:b/>
          <w:color w:val="000000" w:themeColor="text1"/>
          <w:shd w:val="clear" w:color="auto" w:fill="auto"/>
          <w14:textFill>
            <w14:solidFill>
              <w14:schemeClr w14:val="tx1"/>
            </w14:solidFill>
          </w14:textFill>
        </w:rPr>
      </w:pPr>
    </w:p>
    <w:p w14:paraId="64EEA8A2">
      <w:pPr>
        <w:outlineLvl w:val="0"/>
        <w:rPr>
          <w:rFonts w:hint="eastAsia" w:ascii="宋体" w:hAnsi="宋体" w:eastAsia="宋体" w:cs="宋体"/>
          <w:b/>
          <w:color w:val="000000" w:themeColor="text1"/>
          <w:shd w:val="clear" w:color="auto" w:fill="auto"/>
          <w14:textFill>
            <w14:solidFill>
              <w14:schemeClr w14:val="tx1"/>
            </w14:solidFill>
          </w14:textFill>
        </w:rPr>
      </w:pPr>
    </w:p>
    <w:p w14:paraId="484588E4">
      <w:pPr>
        <w:outlineLvl w:val="0"/>
        <w:rPr>
          <w:rFonts w:hint="eastAsia" w:ascii="宋体" w:hAnsi="宋体" w:eastAsia="宋体" w:cs="宋体"/>
          <w:b/>
          <w:color w:val="000000" w:themeColor="text1"/>
          <w:shd w:val="clear" w:color="auto" w:fill="auto"/>
          <w14:textFill>
            <w14:solidFill>
              <w14:schemeClr w14:val="tx1"/>
            </w14:solidFill>
          </w14:textFill>
        </w:rPr>
      </w:pPr>
    </w:p>
    <w:p w14:paraId="30E4646E">
      <w:pPr>
        <w:outlineLvl w:val="0"/>
        <w:rPr>
          <w:rFonts w:hint="eastAsia" w:ascii="宋体" w:hAnsi="宋体" w:eastAsia="宋体" w:cs="宋体"/>
          <w:b/>
          <w:color w:val="000000" w:themeColor="text1"/>
          <w:shd w:val="clear" w:color="auto" w:fill="auto"/>
          <w14:textFill>
            <w14:solidFill>
              <w14:schemeClr w14:val="tx1"/>
            </w14:solidFill>
          </w14:textFill>
        </w:rPr>
      </w:pPr>
    </w:p>
    <w:p w14:paraId="3623FFE5">
      <w:pPr>
        <w:outlineLvl w:val="0"/>
        <w:rPr>
          <w:rFonts w:hint="eastAsia" w:ascii="宋体" w:hAnsi="宋体" w:eastAsia="宋体" w:cs="宋体"/>
          <w:b/>
          <w:color w:val="000000" w:themeColor="text1"/>
          <w:shd w:val="clear" w:color="auto" w:fill="auto"/>
          <w14:textFill>
            <w14:solidFill>
              <w14:schemeClr w14:val="tx1"/>
            </w14:solidFill>
          </w14:textFill>
        </w:rPr>
      </w:pPr>
    </w:p>
    <w:p w14:paraId="6C2072D1">
      <w:pPr>
        <w:outlineLvl w:val="0"/>
        <w:rPr>
          <w:rFonts w:hint="eastAsia" w:ascii="宋体" w:hAnsi="宋体" w:eastAsia="宋体" w:cs="宋体"/>
          <w:b/>
          <w:color w:val="000000" w:themeColor="text1"/>
          <w:shd w:val="clear" w:color="auto" w:fill="auto"/>
          <w14:textFill>
            <w14:solidFill>
              <w14:schemeClr w14:val="tx1"/>
            </w14:solidFill>
          </w14:textFill>
        </w:rPr>
      </w:pPr>
    </w:p>
    <w:p w14:paraId="0A4AFF1E">
      <w:pPr>
        <w:outlineLvl w:val="0"/>
        <w:rPr>
          <w:rFonts w:hint="eastAsia" w:ascii="宋体" w:hAnsi="宋体" w:eastAsia="宋体" w:cs="宋体"/>
          <w:b/>
          <w:color w:val="000000" w:themeColor="text1"/>
          <w:shd w:val="clear" w:color="auto" w:fill="auto"/>
          <w14:textFill>
            <w14:solidFill>
              <w14:schemeClr w14:val="tx1"/>
            </w14:solidFill>
          </w14:textFill>
        </w:rPr>
      </w:pPr>
    </w:p>
    <w:p w14:paraId="182422AD">
      <w:pPr>
        <w:outlineLvl w:val="0"/>
        <w:rPr>
          <w:rFonts w:hint="eastAsia" w:ascii="宋体" w:hAnsi="宋体" w:eastAsia="宋体" w:cs="宋体"/>
          <w:b/>
          <w:color w:val="000000" w:themeColor="text1"/>
          <w:shd w:val="clear" w:color="auto" w:fill="auto"/>
          <w14:textFill>
            <w14:solidFill>
              <w14:schemeClr w14:val="tx1"/>
            </w14:solidFill>
          </w14:textFill>
        </w:rPr>
      </w:pPr>
    </w:p>
    <w:p w14:paraId="7BA3A145">
      <w:pPr>
        <w:outlineLvl w:val="0"/>
        <w:rPr>
          <w:rFonts w:hint="eastAsia" w:ascii="宋体" w:hAnsi="宋体" w:eastAsia="宋体" w:cs="宋体"/>
          <w:b/>
          <w:color w:val="000000" w:themeColor="text1"/>
          <w:shd w:val="clear" w:color="auto" w:fill="auto"/>
          <w14:textFill>
            <w14:solidFill>
              <w14:schemeClr w14:val="tx1"/>
            </w14:solidFill>
          </w14:textFill>
        </w:rPr>
      </w:pPr>
    </w:p>
    <w:p w14:paraId="291F6D49">
      <w:pPr>
        <w:outlineLvl w:val="0"/>
        <w:rPr>
          <w:rFonts w:hint="eastAsia" w:ascii="宋体" w:hAnsi="宋体" w:eastAsia="宋体" w:cs="宋体"/>
          <w:b/>
          <w:color w:val="000000" w:themeColor="text1"/>
          <w:shd w:val="clear" w:color="auto" w:fill="auto"/>
          <w14:textFill>
            <w14:solidFill>
              <w14:schemeClr w14:val="tx1"/>
            </w14:solidFill>
          </w14:textFill>
        </w:rPr>
      </w:pPr>
    </w:p>
    <w:p w14:paraId="1D8F6B09">
      <w:pPr>
        <w:outlineLvl w:val="0"/>
        <w:rPr>
          <w:rFonts w:hint="eastAsia" w:ascii="宋体" w:hAnsi="宋体" w:eastAsia="宋体" w:cs="宋体"/>
          <w:b/>
          <w:color w:val="000000" w:themeColor="text1"/>
          <w:shd w:val="clear" w:color="auto" w:fill="auto"/>
          <w14:textFill>
            <w14:solidFill>
              <w14:schemeClr w14:val="tx1"/>
            </w14:solidFill>
          </w14:textFill>
        </w:rPr>
      </w:pPr>
    </w:p>
    <w:p w14:paraId="1F202051">
      <w:pPr>
        <w:outlineLvl w:val="0"/>
        <w:rPr>
          <w:rFonts w:hint="eastAsia" w:ascii="宋体" w:hAnsi="宋体" w:eastAsia="宋体" w:cs="宋体"/>
          <w:b/>
          <w:color w:val="000000" w:themeColor="text1"/>
          <w:shd w:val="clear" w:color="auto" w:fill="auto"/>
          <w14:textFill>
            <w14:solidFill>
              <w14:schemeClr w14:val="tx1"/>
            </w14:solidFill>
          </w14:textFill>
        </w:rPr>
      </w:pPr>
    </w:p>
    <w:p w14:paraId="54C9E12F">
      <w:pPr>
        <w:outlineLvl w:val="0"/>
        <w:rPr>
          <w:rFonts w:hint="eastAsia" w:ascii="宋体" w:hAnsi="宋体" w:eastAsia="宋体" w:cs="宋体"/>
          <w:b/>
          <w:color w:val="000000" w:themeColor="text1"/>
          <w:shd w:val="clear" w:color="auto" w:fill="auto"/>
          <w14:textFill>
            <w14:solidFill>
              <w14:schemeClr w14:val="tx1"/>
            </w14:solidFill>
          </w14:textFill>
        </w:rPr>
      </w:pPr>
    </w:p>
    <w:p w14:paraId="50618586">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13008359"/>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5A9AE903"/>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2A3494E-5AEB-42D0-AD75-DA14E458F30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77604F1C-CD88-466D-826D-3150ADFF31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8109C"/>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4043A7"/>
    <w:rsid w:val="02B325DC"/>
    <w:rsid w:val="02D84414"/>
    <w:rsid w:val="02FE0C09"/>
    <w:rsid w:val="037759DB"/>
    <w:rsid w:val="03921202"/>
    <w:rsid w:val="039C4C1C"/>
    <w:rsid w:val="03BB3ADF"/>
    <w:rsid w:val="03C2134C"/>
    <w:rsid w:val="03D70B20"/>
    <w:rsid w:val="04DA26C6"/>
    <w:rsid w:val="04DE1E0F"/>
    <w:rsid w:val="04F00597"/>
    <w:rsid w:val="059B5141"/>
    <w:rsid w:val="05AB6E25"/>
    <w:rsid w:val="05E64439"/>
    <w:rsid w:val="05E94CDF"/>
    <w:rsid w:val="060E092E"/>
    <w:rsid w:val="065A1406"/>
    <w:rsid w:val="067D7A0C"/>
    <w:rsid w:val="06A45EA9"/>
    <w:rsid w:val="06BC1BB0"/>
    <w:rsid w:val="074B1659"/>
    <w:rsid w:val="07911761"/>
    <w:rsid w:val="07C5765D"/>
    <w:rsid w:val="07E8505E"/>
    <w:rsid w:val="07F26429"/>
    <w:rsid w:val="084C34CD"/>
    <w:rsid w:val="094176DB"/>
    <w:rsid w:val="0951448A"/>
    <w:rsid w:val="0983062E"/>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7E5EA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CD0A4F"/>
    <w:rsid w:val="0FD61CDB"/>
    <w:rsid w:val="0FD8306F"/>
    <w:rsid w:val="0FFD1C5A"/>
    <w:rsid w:val="1014334F"/>
    <w:rsid w:val="10246EEB"/>
    <w:rsid w:val="10413B50"/>
    <w:rsid w:val="104D689B"/>
    <w:rsid w:val="109D57E0"/>
    <w:rsid w:val="10B17251"/>
    <w:rsid w:val="10BA59BE"/>
    <w:rsid w:val="10BF5E9B"/>
    <w:rsid w:val="111523FC"/>
    <w:rsid w:val="111C3A01"/>
    <w:rsid w:val="114A7245"/>
    <w:rsid w:val="11782A26"/>
    <w:rsid w:val="11E44902"/>
    <w:rsid w:val="13141499"/>
    <w:rsid w:val="131D034D"/>
    <w:rsid w:val="133C3066"/>
    <w:rsid w:val="134E0964"/>
    <w:rsid w:val="13633F56"/>
    <w:rsid w:val="13653AA2"/>
    <w:rsid w:val="13D52C1B"/>
    <w:rsid w:val="13F41DC8"/>
    <w:rsid w:val="144B1714"/>
    <w:rsid w:val="14B95EDB"/>
    <w:rsid w:val="14C6168E"/>
    <w:rsid w:val="14C6556D"/>
    <w:rsid w:val="14E12006"/>
    <w:rsid w:val="154C4C37"/>
    <w:rsid w:val="1554725E"/>
    <w:rsid w:val="15604521"/>
    <w:rsid w:val="156125ED"/>
    <w:rsid w:val="158D32E0"/>
    <w:rsid w:val="15D171CD"/>
    <w:rsid w:val="16243DF1"/>
    <w:rsid w:val="165A4E2F"/>
    <w:rsid w:val="17E52B34"/>
    <w:rsid w:val="18130842"/>
    <w:rsid w:val="18465822"/>
    <w:rsid w:val="18675712"/>
    <w:rsid w:val="188B43F5"/>
    <w:rsid w:val="18E50010"/>
    <w:rsid w:val="18F71640"/>
    <w:rsid w:val="19394057"/>
    <w:rsid w:val="193E1782"/>
    <w:rsid w:val="199C2358"/>
    <w:rsid w:val="19B7492C"/>
    <w:rsid w:val="1A511E59"/>
    <w:rsid w:val="1A705757"/>
    <w:rsid w:val="1AE4406F"/>
    <w:rsid w:val="1AE84C93"/>
    <w:rsid w:val="1B1D5FE3"/>
    <w:rsid w:val="1B484046"/>
    <w:rsid w:val="1B4A5E5B"/>
    <w:rsid w:val="1B925650"/>
    <w:rsid w:val="1C0025BA"/>
    <w:rsid w:val="1C66752D"/>
    <w:rsid w:val="1C6945DA"/>
    <w:rsid w:val="1CD22D64"/>
    <w:rsid w:val="1CED540D"/>
    <w:rsid w:val="1CF33ECD"/>
    <w:rsid w:val="1CF736B7"/>
    <w:rsid w:val="1D624A3F"/>
    <w:rsid w:val="1D632E00"/>
    <w:rsid w:val="1DCB5B8A"/>
    <w:rsid w:val="1DD87EDC"/>
    <w:rsid w:val="1DDA4D59"/>
    <w:rsid w:val="1E570CBF"/>
    <w:rsid w:val="1E8652AA"/>
    <w:rsid w:val="1E9D4968"/>
    <w:rsid w:val="1EB13D33"/>
    <w:rsid w:val="1EEA6CFF"/>
    <w:rsid w:val="1F062593"/>
    <w:rsid w:val="1F08489B"/>
    <w:rsid w:val="1F2D0A6E"/>
    <w:rsid w:val="1F3A098C"/>
    <w:rsid w:val="1F3D23B3"/>
    <w:rsid w:val="1F6A74CC"/>
    <w:rsid w:val="1F6D6E4A"/>
    <w:rsid w:val="1F8009D9"/>
    <w:rsid w:val="1FCE723D"/>
    <w:rsid w:val="1FD702B4"/>
    <w:rsid w:val="20084BEF"/>
    <w:rsid w:val="203372B2"/>
    <w:rsid w:val="204C6181"/>
    <w:rsid w:val="20FB0BC7"/>
    <w:rsid w:val="2114239C"/>
    <w:rsid w:val="216435EB"/>
    <w:rsid w:val="21C45BE8"/>
    <w:rsid w:val="21F678C9"/>
    <w:rsid w:val="21F94F0D"/>
    <w:rsid w:val="22087C6F"/>
    <w:rsid w:val="224F1BA5"/>
    <w:rsid w:val="22EF7055"/>
    <w:rsid w:val="231132FF"/>
    <w:rsid w:val="23743B1F"/>
    <w:rsid w:val="240C0392"/>
    <w:rsid w:val="24514D5A"/>
    <w:rsid w:val="24AB13E3"/>
    <w:rsid w:val="254D6667"/>
    <w:rsid w:val="25B67319"/>
    <w:rsid w:val="25B7688A"/>
    <w:rsid w:val="25B91E1A"/>
    <w:rsid w:val="25FF0C6B"/>
    <w:rsid w:val="26380176"/>
    <w:rsid w:val="26A440C8"/>
    <w:rsid w:val="26D56CF3"/>
    <w:rsid w:val="26FE2E6F"/>
    <w:rsid w:val="271E4A07"/>
    <w:rsid w:val="275D539C"/>
    <w:rsid w:val="27B41749"/>
    <w:rsid w:val="27BE30B5"/>
    <w:rsid w:val="28031161"/>
    <w:rsid w:val="282105EF"/>
    <w:rsid w:val="282D107F"/>
    <w:rsid w:val="28377F6C"/>
    <w:rsid w:val="28580457"/>
    <w:rsid w:val="287535CD"/>
    <w:rsid w:val="28CD4235"/>
    <w:rsid w:val="28D01566"/>
    <w:rsid w:val="28E31299"/>
    <w:rsid w:val="293D6BFB"/>
    <w:rsid w:val="29430470"/>
    <w:rsid w:val="29A81CF0"/>
    <w:rsid w:val="2A0812C8"/>
    <w:rsid w:val="2B2C4917"/>
    <w:rsid w:val="2B3D6767"/>
    <w:rsid w:val="2B411C38"/>
    <w:rsid w:val="2B57565F"/>
    <w:rsid w:val="2BBD2276"/>
    <w:rsid w:val="2C812A23"/>
    <w:rsid w:val="2CDF621C"/>
    <w:rsid w:val="2CE02E81"/>
    <w:rsid w:val="2CF2794B"/>
    <w:rsid w:val="2D9073ED"/>
    <w:rsid w:val="2DDB0955"/>
    <w:rsid w:val="2DDE0220"/>
    <w:rsid w:val="2E454084"/>
    <w:rsid w:val="2E4A05E4"/>
    <w:rsid w:val="2E6141F3"/>
    <w:rsid w:val="2F124686"/>
    <w:rsid w:val="2F1F1F02"/>
    <w:rsid w:val="2F2348BD"/>
    <w:rsid w:val="2F6F1AD9"/>
    <w:rsid w:val="2F831DB2"/>
    <w:rsid w:val="2F943FCB"/>
    <w:rsid w:val="2FD06C0B"/>
    <w:rsid w:val="30381B81"/>
    <w:rsid w:val="30A44277"/>
    <w:rsid w:val="30B15F03"/>
    <w:rsid w:val="30B30136"/>
    <w:rsid w:val="30CD7D7B"/>
    <w:rsid w:val="310B1BDB"/>
    <w:rsid w:val="31CA4358"/>
    <w:rsid w:val="31D30AC7"/>
    <w:rsid w:val="31FA7479"/>
    <w:rsid w:val="32050A97"/>
    <w:rsid w:val="32284BF5"/>
    <w:rsid w:val="324E4259"/>
    <w:rsid w:val="32A510F7"/>
    <w:rsid w:val="32DA1DD4"/>
    <w:rsid w:val="32EB4869"/>
    <w:rsid w:val="33127B8D"/>
    <w:rsid w:val="33323C73"/>
    <w:rsid w:val="3361798A"/>
    <w:rsid w:val="33861085"/>
    <w:rsid w:val="33CA5BAD"/>
    <w:rsid w:val="33F1420C"/>
    <w:rsid w:val="34311909"/>
    <w:rsid w:val="34477E1A"/>
    <w:rsid w:val="34B44507"/>
    <w:rsid w:val="35687566"/>
    <w:rsid w:val="35B15F88"/>
    <w:rsid w:val="35D501BC"/>
    <w:rsid w:val="35E87A5C"/>
    <w:rsid w:val="3608331B"/>
    <w:rsid w:val="36382C0F"/>
    <w:rsid w:val="36834056"/>
    <w:rsid w:val="369E4A52"/>
    <w:rsid w:val="36A73740"/>
    <w:rsid w:val="36C3312C"/>
    <w:rsid w:val="36EC0B56"/>
    <w:rsid w:val="37174BEB"/>
    <w:rsid w:val="37542B62"/>
    <w:rsid w:val="375A306E"/>
    <w:rsid w:val="37D83F93"/>
    <w:rsid w:val="382D2437"/>
    <w:rsid w:val="38442273"/>
    <w:rsid w:val="384E006D"/>
    <w:rsid w:val="385D0EF3"/>
    <w:rsid w:val="387D36CA"/>
    <w:rsid w:val="389536A9"/>
    <w:rsid w:val="38BF4D66"/>
    <w:rsid w:val="38C010B0"/>
    <w:rsid w:val="38E86458"/>
    <w:rsid w:val="38EB2B69"/>
    <w:rsid w:val="391C67AE"/>
    <w:rsid w:val="39486CC3"/>
    <w:rsid w:val="39A3534F"/>
    <w:rsid w:val="39D65068"/>
    <w:rsid w:val="3AA25DEC"/>
    <w:rsid w:val="3AC648F5"/>
    <w:rsid w:val="3B30241A"/>
    <w:rsid w:val="3B5B756F"/>
    <w:rsid w:val="3B870893"/>
    <w:rsid w:val="3B91489B"/>
    <w:rsid w:val="3BA13299"/>
    <w:rsid w:val="3C4F6F1A"/>
    <w:rsid w:val="3D2F290C"/>
    <w:rsid w:val="3D3375F0"/>
    <w:rsid w:val="3D4C1E7B"/>
    <w:rsid w:val="3D6E2990"/>
    <w:rsid w:val="3D79508E"/>
    <w:rsid w:val="3DC21444"/>
    <w:rsid w:val="3DD60FEB"/>
    <w:rsid w:val="3E263CAA"/>
    <w:rsid w:val="3E491747"/>
    <w:rsid w:val="3E6B192F"/>
    <w:rsid w:val="3EA55BAC"/>
    <w:rsid w:val="3EEF12C4"/>
    <w:rsid w:val="3F150346"/>
    <w:rsid w:val="3F19442F"/>
    <w:rsid w:val="3F4757B8"/>
    <w:rsid w:val="3F4A029A"/>
    <w:rsid w:val="3F4E528D"/>
    <w:rsid w:val="3F591E5E"/>
    <w:rsid w:val="3F5A6C6F"/>
    <w:rsid w:val="3F7A393A"/>
    <w:rsid w:val="3FC45529"/>
    <w:rsid w:val="3FE1690B"/>
    <w:rsid w:val="40113C23"/>
    <w:rsid w:val="40351638"/>
    <w:rsid w:val="403F2E01"/>
    <w:rsid w:val="404A2E64"/>
    <w:rsid w:val="40AB0EC9"/>
    <w:rsid w:val="40C2612C"/>
    <w:rsid w:val="40E52488"/>
    <w:rsid w:val="41007A8F"/>
    <w:rsid w:val="415869FC"/>
    <w:rsid w:val="41670862"/>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33E3844"/>
    <w:rsid w:val="437470EA"/>
    <w:rsid w:val="437C12A7"/>
    <w:rsid w:val="43F81C45"/>
    <w:rsid w:val="441F4671"/>
    <w:rsid w:val="444565A3"/>
    <w:rsid w:val="447A6AFE"/>
    <w:rsid w:val="44B9673B"/>
    <w:rsid w:val="45AC0F39"/>
    <w:rsid w:val="461B60BF"/>
    <w:rsid w:val="46C96141"/>
    <w:rsid w:val="46D06FAA"/>
    <w:rsid w:val="475461C4"/>
    <w:rsid w:val="477A0BC3"/>
    <w:rsid w:val="47D41743"/>
    <w:rsid w:val="47D63DB2"/>
    <w:rsid w:val="47F3755A"/>
    <w:rsid w:val="482B71EF"/>
    <w:rsid w:val="48447281"/>
    <w:rsid w:val="487D04F4"/>
    <w:rsid w:val="48912668"/>
    <w:rsid w:val="48A31EA1"/>
    <w:rsid w:val="48D90D59"/>
    <w:rsid w:val="48E11FE9"/>
    <w:rsid w:val="48FA020D"/>
    <w:rsid w:val="492C6FBB"/>
    <w:rsid w:val="499D1F70"/>
    <w:rsid w:val="4A1025A8"/>
    <w:rsid w:val="4A832C17"/>
    <w:rsid w:val="4A9100D0"/>
    <w:rsid w:val="4AC26B09"/>
    <w:rsid w:val="4AD056CA"/>
    <w:rsid w:val="4AD41B9B"/>
    <w:rsid w:val="4AED1C9D"/>
    <w:rsid w:val="4B597B89"/>
    <w:rsid w:val="4BE8259F"/>
    <w:rsid w:val="4C025EBB"/>
    <w:rsid w:val="4C4E289A"/>
    <w:rsid w:val="4CC56D84"/>
    <w:rsid w:val="4DB6287B"/>
    <w:rsid w:val="4DBE5CAD"/>
    <w:rsid w:val="4DD75684"/>
    <w:rsid w:val="4E0D2518"/>
    <w:rsid w:val="4E1557C5"/>
    <w:rsid w:val="4E231003"/>
    <w:rsid w:val="4E3873B7"/>
    <w:rsid w:val="4EF70D4B"/>
    <w:rsid w:val="4F2E0C11"/>
    <w:rsid w:val="4F79418A"/>
    <w:rsid w:val="50472E90"/>
    <w:rsid w:val="50A0099F"/>
    <w:rsid w:val="50A2078E"/>
    <w:rsid w:val="50B9275C"/>
    <w:rsid w:val="50F72CC9"/>
    <w:rsid w:val="50FE286B"/>
    <w:rsid w:val="514069D9"/>
    <w:rsid w:val="51932220"/>
    <w:rsid w:val="51B75FCA"/>
    <w:rsid w:val="51BC0756"/>
    <w:rsid w:val="51D276BD"/>
    <w:rsid w:val="51D77CAA"/>
    <w:rsid w:val="52173BDE"/>
    <w:rsid w:val="522135A2"/>
    <w:rsid w:val="5228244C"/>
    <w:rsid w:val="526D5211"/>
    <w:rsid w:val="529620AE"/>
    <w:rsid w:val="52C7180D"/>
    <w:rsid w:val="52EB291F"/>
    <w:rsid w:val="52ED493F"/>
    <w:rsid w:val="52F55822"/>
    <w:rsid w:val="531F0FF7"/>
    <w:rsid w:val="53A83AF6"/>
    <w:rsid w:val="53B56AAB"/>
    <w:rsid w:val="53E03D6D"/>
    <w:rsid w:val="53E144A4"/>
    <w:rsid w:val="54333CD5"/>
    <w:rsid w:val="546107D9"/>
    <w:rsid w:val="546E506B"/>
    <w:rsid w:val="549E2395"/>
    <w:rsid w:val="55297C80"/>
    <w:rsid w:val="5531155E"/>
    <w:rsid w:val="565C7750"/>
    <w:rsid w:val="56644F18"/>
    <w:rsid w:val="56A12956"/>
    <w:rsid w:val="56C54297"/>
    <w:rsid w:val="56DB047F"/>
    <w:rsid w:val="56FE5BF2"/>
    <w:rsid w:val="56FF2E93"/>
    <w:rsid w:val="57100988"/>
    <w:rsid w:val="576D5122"/>
    <w:rsid w:val="58506377"/>
    <w:rsid w:val="586259DC"/>
    <w:rsid w:val="58625BCC"/>
    <w:rsid w:val="58627B7D"/>
    <w:rsid w:val="58B574EB"/>
    <w:rsid w:val="58CE04C7"/>
    <w:rsid w:val="58FC1D80"/>
    <w:rsid w:val="593509FB"/>
    <w:rsid w:val="59893E96"/>
    <w:rsid w:val="599D432B"/>
    <w:rsid w:val="59E56370"/>
    <w:rsid w:val="5A12625C"/>
    <w:rsid w:val="5B1E275D"/>
    <w:rsid w:val="5B3E21DC"/>
    <w:rsid w:val="5B4A5024"/>
    <w:rsid w:val="5BBD57F6"/>
    <w:rsid w:val="5BC414F3"/>
    <w:rsid w:val="5C2D4F60"/>
    <w:rsid w:val="5C351FFC"/>
    <w:rsid w:val="5C953453"/>
    <w:rsid w:val="5CAE15E3"/>
    <w:rsid w:val="5CB84A88"/>
    <w:rsid w:val="5CDA4186"/>
    <w:rsid w:val="5D290C69"/>
    <w:rsid w:val="5DEE479F"/>
    <w:rsid w:val="5E2377EC"/>
    <w:rsid w:val="5E254884"/>
    <w:rsid w:val="5E36741C"/>
    <w:rsid w:val="5E407DA6"/>
    <w:rsid w:val="5F3F2DAC"/>
    <w:rsid w:val="5F4829DC"/>
    <w:rsid w:val="5F714A03"/>
    <w:rsid w:val="5F725BF8"/>
    <w:rsid w:val="5F8301BD"/>
    <w:rsid w:val="5FB15C3A"/>
    <w:rsid w:val="5FDF26F7"/>
    <w:rsid w:val="5FEC0FE5"/>
    <w:rsid w:val="6022194E"/>
    <w:rsid w:val="602E5F05"/>
    <w:rsid w:val="60570E4A"/>
    <w:rsid w:val="606E5CB4"/>
    <w:rsid w:val="60795616"/>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7664A"/>
    <w:rsid w:val="656A40F1"/>
    <w:rsid w:val="658C5E23"/>
    <w:rsid w:val="65E6594A"/>
    <w:rsid w:val="65F9363E"/>
    <w:rsid w:val="66287D10"/>
    <w:rsid w:val="66747376"/>
    <w:rsid w:val="667E25AF"/>
    <w:rsid w:val="66815672"/>
    <w:rsid w:val="67042ACB"/>
    <w:rsid w:val="67152E14"/>
    <w:rsid w:val="67274024"/>
    <w:rsid w:val="673941B8"/>
    <w:rsid w:val="67770DF7"/>
    <w:rsid w:val="679C27B9"/>
    <w:rsid w:val="67C21399"/>
    <w:rsid w:val="67CB3049"/>
    <w:rsid w:val="67FF2A16"/>
    <w:rsid w:val="682465CF"/>
    <w:rsid w:val="68EA74FF"/>
    <w:rsid w:val="690814B0"/>
    <w:rsid w:val="694638B9"/>
    <w:rsid w:val="6972525B"/>
    <w:rsid w:val="69C211FB"/>
    <w:rsid w:val="69FC5E8B"/>
    <w:rsid w:val="6A16113C"/>
    <w:rsid w:val="6A777B3A"/>
    <w:rsid w:val="6AD14E1A"/>
    <w:rsid w:val="6AE1793A"/>
    <w:rsid w:val="6B056872"/>
    <w:rsid w:val="6B1765A5"/>
    <w:rsid w:val="6B217424"/>
    <w:rsid w:val="6B28360F"/>
    <w:rsid w:val="6B9F4D55"/>
    <w:rsid w:val="6BAA3DD9"/>
    <w:rsid w:val="6C172D01"/>
    <w:rsid w:val="6C5B0433"/>
    <w:rsid w:val="6CC21278"/>
    <w:rsid w:val="6CC2767B"/>
    <w:rsid w:val="6CEE14EE"/>
    <w:rsid w:val="6D342244"/>
    <w:rsid w:val="6DAB4CCB"/>
    <w:rsid w:val="6DC70D5C"/>
    <w:rsid w:val="6DD121FE"/>
    <w:rsid w:val="6DDA24A1"/>
    <w:rsid w:val="6DE53C17"/>
    <w:rsid w:val="6DFC3BBF"/>
    <w:rsid w:val="6E0E1C83"/>
    <w:rsid w:val="6E45126B"/>
    <w:rsid w:val="6EA047F7"/>
    <w:rsid w:val="6EFB5292"/>
    <w:rsid w:val="6F062BB9"/>
    <w:rsid w:val="6F185329"/>
    <w:rsid w:val="6F213E8F"/>
    <w:rsid w:val="70783234"/>
    <w:rsid w:val="70E64A50"/>
    <w:rsid w:val="710A408D"/>
    <w:rsid w:val="71231A63"/>
    <w:rsid w:val="714B6E37"/>
    <w:rsid w:val="71C72BEE"/>
    <w:rsid w:val="72AA2579"/>
    <w:rsid w:val="73614D85"/>
    <w:rsid w:val="7363682B"/>
    <w:rsid w:val="7363763C"/>
    <w:rsid w:val="739465A0"/>
    <w:rsid w:val="73A82490"/>
    <w:rsid w:val="73AA3664"/>
    <w:rsid w:val="73B34AD5"/>
    <w:rsid w:val="73D42B6E"/>
    <w:rsid w:val="74213F2D"/>
    <w:rsid w:val="743B3E3F"/>
    <w:rsid w:val="74CE1079"/>
    <w:rsid w:val="74E41D61"/>
    <w:rsid w:val="75F575B2"/>
    <w:rsid w:val="7654465A"/>
    <w:rsid w:val="765A00C6"/>
    <w:rsid w:val="76945281"/>
    <w:rsid w:val="76994BBA"/>
    <w:rsid w:val="76995E63"/>
    <w:rsid w:val="772335FF"/>
    <w:rsid w:val="7733287E"/>
    <w:rsid w:val="77452BA0"/>
    <w:rsid w:val="774923FD"/>
    <w:rsid w:val="777E28EC"/>
    <w:rsid w:val="77B52272"/>
    <w:rsid w:val="78120C80"/>
    <w:rsid w:val="781959A6"/>
    <w:rsid w:val="783A1618"/>
    <w:rsid w:val="788222E3"/>
    <w:rsid w:val="7908485F"/>
    <w:rsid w:val="7936053E"/>
    <w:rsid w:val="793F0B2C"/>
    <w:rsid w:val="797818E8"/>
    <w:rsid w:val="797D07AB"/>
    <w:rsid w:val="79AC25AE"/>
    <w:rsid w:val="7AAC0A0E"/>
    <w:rsid w:val="7AF0301F"/>
    <w:rsid w:val="7B237CCD"/>
    <w:rsid w:val="7B306E47"/>
    <w:rsid w:val="7B8C6B3B"/>
    <w:rsid w:val="7BB505A7"/>
    <w:rsid w:val="7BB717C3"/>
    <w:rsid w:val="7BD77DB7"/>
    <w:rsid w:val="7C3F595C"/>
    <w:rsid w:val="7C507B69"/>
    <w:rsid w:val="7C683BAE"/>
    <w:rsid w:val="7C885555"/>
    <w:rsid w:val="7C8F1C01"/>
    <w:rsid w:val="7CBD0742"/>
    <w:rsid w:val="7CC601EC"/>
    <w:rsid w:val="7D162D31"/>
    <w:rsid w:val="7D7D55A3"/>
    <w:rsid w:val="7D9A028A"/>
    <w:rsid w:val="7DE81FDD"/>
    <w:rsid w:val="7E3C60AD"/>
    <w:rsid w:val="7E4A776E"/>
    <w:rsid w:val="7EC565EC"/>
    <w:rsid w:val="7EEF5417"/>
    <w:rsid w:val="7F0277B9"/>
    <w:rsid w:val="7F0D3AEF"/>
    <w:rsid w:val="7F435763"/>
    <w:rsid w:val="7F59767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11658</Words>
  <Characters>11941</Characters>
  <Lines>182</Lines>
  <Paragraphs>51</Paragraphs>
  <TotalTime>1</TotalTime>
  <ScaleCrop>false</ScaleCrop>
  <LinksUpToDate>false</LinksUpToDate>
  <CharactersWithSpaces>12040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2025-11-04T07:45:13Z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