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 xml:space="preserve">FW132 </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4C30B606">
            <w:pPr>
              <w:spacing w:line="310" w:lineRule="exact"/>
              <w:jc w:val="center"/>
              <w:rPr>
                <w:rFonts w:hint="eastAsia" w:ascii="楷体" w:hAnsi="楷体" w:eastAsia="楷体"/>
                <w:b/>
                <w:kern w:val="0"/>
                <w:sz w:val="24"/>
                <w:szCs w:val="24"/>
                <w:lang w:eastAsia="zh-CN"/>
              </w:rPr>
            </w:pPr>
            <w:r>
              <w:rPr>
                <w:rFonts w:hint="eastAsia" w:ascii="楷体" w:hAnsi="楷体" w:eastAsia="楷体"/>
                <w:b/>
                <w:kern w:val="0"/>
                <w:sz w:val="24"/>
                <w:szCs w:val="24"/>
                <w:lang w:eastAsia="zh-CN"/>
              </w:rPr>
              <w:t>兴龙湖院区全科楼办公区域</w:t>
            </w:r>
          </w:p>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网络点位补充</w:t>
            </w:r>
            <w:r>
              <w:rPr>
                <w:rFonts w:hint="eastAsia" w:ascii="楷体" w:hAnsi="楷体" w:eastAsia="楷体"/>
                <w:b/>
                <w:kern w:val="0"/>
                <w:sz w:val="24"/>
                <w:szCs w:val="24"/>
                <w:lang w:eastAsia="zh-CN"/>
              </w:rPr>
              <w:t>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5</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7</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烧伤整形科高效辐射烧伤治疗机移机服务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总预算为4.8万元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技术</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054926EB">
      <w:pPr>
        <w:spacing w:line="480" w:lineRule="exact"/>
        <w:rPr>
          <w:rFonts w:ascii="楷体" w:hAnsi="楷体" w:eastAsia="楷体"/>
          <w:b/>
          <w:kern w:val="0"/>
          <w:sz w:val="24"/>
          <w:szCs w:val="24"/>
        </w:rPr>
      </w:pPr>
    </w:p>
    <w:p w14:paraId="73852AFB">
      <w:pPr>
        <w:spacing w:line="480" w:lineRule="exact"/>
        <w:rPr>
          <w:rFonts w:ascii="楷体" w:hAnsi="楷体" w:eastAsia="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一、技术需求</w:t>
      </w:r>
    </w:p>
    <w:p w14:paraId="79862F9D">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（一）网络模块接入点位</w:t>
      </w:r>
    </w:p>
    <w:p w14:paraId="06D7D44D">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1.需求清单：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5"/>
        <w:gridCol w:w="1535"/>
        <w:gridCol w:w="1323"/>
        <w:gridCol w:w="1907"/>
      </w:tblGrid>
      <w:tr w14:paraId="020B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074AD369">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名称</w:t>
            </w:r>
          </w:p>
        </w:tc>
        <w:tc>
          <w:tcPr>
            <w:tcW w:w="1535" w:type="dxa"/>
            <w:tcMar>
              <w:top w:w="0" w:type="dxa"/>
              <w:left w:w="105" w:type="dxa"/>
              <w:bottom w:w="0" w:type="dxa"/>
              <w:right w:w="105" w:type="dxa"/>
            </w:tcMar>
            <w:vAlign w:val="center"/>
          </w:tcPr>
          <w:p w14:paraId="52ADDC85">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单位</w:t>
            </w:r>
          </w:p>
        </w:tc>
        <w:tc>
          <w:tcPr>
            <w:tcW w:w="1323" w:type="dxa"/>
            <w:tcMar>
              <w:top w:w="0" w:type="dxa"/>
              <w:left w:w="105" w:type="dxa"/>
              <w:bottom w:w="0" w:type="dxa"/>
              <w:right w:w="105" w:type="dxa"/>
            </w:tcMar>
            <w:vAlign w:val="center"/>
          </w:tcPr>
          <w:p w14:paraId="2697755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数量</w:t>
            </w:r>
          </w:p>
        </w:tc>
        <w:tc>
          <w:tcPr>
            <w:tcW w:w="1907" w:type="dxa"/>
            <w:tcMar>
              <w:top w:w="0" w:type="dxa"/>
              <w:left w:w="105" w:type="dxa"/>
              <w:bottom w:w="0" w:type="dxa"/>
              <w:right w:w="105" w:type="dxa"/>
            </w:tcMar>
            <w:vAlign w:val="center"/>
          </w:tcPr>
          <w:p w14:paraId="540EA26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备注</w:t>
            </w:r>
          </w:p>
        </w:tc>
      </w:tr>
      <w:tr w14:paraId="1B40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47E8079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网络模块接入点位</w:t>
            </w:r>
          </w:p>
        </w:tc>
        <w:tc>
          <w:tcPr>
            <w:tcW w:w="1535" w:type="dxa"/>
            <w:tcMar>
              <w:top w:w="0" w:type="dxa"/>
              <w:left w:w="105" w:type="dxa"/>
              <w:bottom w:w="0" w:type="dxa"/>
              <w:right w:w="105" w:type="dxa"/>
            </w:tcMar>
            <w:vAlign w:val="center"/>
          </w:tcPr>
          <w:p w14:paraId="781DBE3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个</w:t>
            </w:r>
          </w:p>
        </w:tc>
        <w:tc>
          <w:tcPr>
            <w:tcW w:w="1323" w:type="dxa"/>
            <w:tcMar>
              <w:top w:w="0" w:type="dxa"/>
              <w:left w:w="105" w:type="dxa"/>
              <w:bottom w:w="0" w:type="dxa"/>
              <w:right w:w="105" w:type="dxa"/>
            </w:tcMar>
            <w:vAlign w:val="center"/>
          </w:tcPr>
          <w:p w14:paraId="571B72E6">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300</w:t>
            </w:r>
          </w:p>
        </w:tc>
        <w:tc>
          <w:tcPr>
            <w:tcW w:w="1907" w:type="dxa"/>
            <w:vMerge w:val="restart"/>
            <w:tcMar>
              <w:top w:w="0" w:type="dxa"/>
              <w:left w:w="105" w:type="dxa"/>
              <w:bottom w:w="0" w:type="dxa"/>
              <w:right w:w="105" w:type="dxa"/>
            </w:tcMar>
            <w:vAlign w:val="center"/>
          </w:tcPr>
          <w:p w14:paraId="5E830B0F">
            <w:pPr>
              <w:snapToGrid w:val="0"/>
              <w:spacing w:line="520" w:lineRule="exact"/>
              <w:ind w:firstLine="420" w:firstLineChars="200"/>
              <w:rPr>
                <w:rFonts w:hint="eastAsia" w:ascii="宋体" w:hAnsi="宋体" w:eastAsia="宋体" w:cs="宋体"/>
                <w:szCs w:val="28"/>
              </w:rPr>
            </w:pPr>
            <w:bookmarkStart w:id="2" w:name="_GoBack"/>
            <w:bookmarkEnd w:id="2"/>
            <w:r>
              <w:rPr>
                <w:rFonts w:hint="eastAsia" w:ascii="宋体" w:hAnsi="宋体" w:eastAsia="宋体" w:cs="宋体"/>
                <w:szCs w:val="28"/>
              </w:rPr>
              <w:t>数量为预估</w:t>
            </w:r>
          </w:p>
        </w:tc>
      </w:tr>
      <w:tr w14:paraId="4AF5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405" w:type="dxa"/>
            <w:tcMar>
              <w:top w:w="0" w:type="dxa"/>
              <w:left w:w="105" w:type="dxa"/>
              <w:bottom w:w="0" w:type="dxa"/>
              <w:right w:w="105" w:type="dxa"/>
            </w:tcMar>
            <w:vAlign w:val="center"/>
          </w:tcPr>
          <w:p w14:paraId="4D2FE0B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网络布线点位</w:t>
            </w:r>
          </w:p>
        </w:tc>
        <w:tc>
          <w:tcPr>
            <w:tcW w:w="1535" w:type="dxa"/>
            <w:tcMar>
              <w:top w:w="0" w:type="dxa"/>
              <w:left w:w="105" w:type="dxa"/>
              <w:bottom w:w="0" w:type="dxa"/>
              <w:right w:w="105" w:type="dxa"/>
            </w:tcMar>
            <w:vAlign w:val="center"/>
          </w:tcPr>
          <w:p w14:paraId="15D66280">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个</w:t>
            </w:r>
          </w:p>
        </w:tc>
        <w:tc>
          <w:tcPr>
            <w:tcW w:w="1323" w:type="dxa"/>
            <w:tcMar>
              <w:top w:w="0" w:type="dxa"/>
              <w:left w:w="105" w:type="dxa"/>
              <w:bottom w:w="0" w:type="dxa"/>
              <w:right w:w="105" w:type="dxa"/>
            </w:tcMar>
            <w:vAlign w:val="center"/>
          </w:tcPr>
          <w:p w14:paraId="710903F8">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100</w:t>
            </w:r>
          </w:p>
        </w:tc>
        <w:tc>
          <w:tcPr>
            <w:tcW w:w="1907" w:type="dxa"/>
            <w:vMerge w:val="continue"/>
            <w:tcMar>
              <w:top w:w="0" w:type="dxa"/>
              <w:left w:w="105" w:type="dxa"/>
              <w:bottom w:w="0" w:type="dxa"/>
              <w:right w:w="105" w:type="dxa"/>
            </w:tcMar>
            <w:vAlign w:val="center"/>
          </w:tcPr>
          <w:p w14:paraId="30ED9FD7">
            <w:pPr>
              <w:widowControl/>
              <w:spacing w:before="100" w:beforeAutospacing="1" w:after="100" w:afterAutospacing="1"/>
              <w:jc w:val="center"/>
              <w:rPr>
                <w:rFonts w:eastAsia="方正仿宋_GBK"/>
                <w:color w:val="000000" w:themeColor="text1"/>
                <w:kern w:val="0"/>
                <w:sz w:val="24"/>
                <w:szCs w:val="24"/>
              </w:rPr>
            </w:pPr>
          </w:p>
        </w:tc>
      </w:tr>
    </w:tbl>
    <w:p w14:paraId="6A1335CE">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2</w:t>
      </w:r>
      <w:r>
        <w:rPr>
          <w:rFonts w:hint="eastAsia" w:ascii="宋体" w:hAnsi="宋体" w:eastAsia="宋体" w:cs="宋体"/>
          <w:szCs w:val="28"/>
        </w:rPr>
        <w:t>.采用采购方提供的网络面板及网络模块实施接入施工，确保各网络点位满足 RJ45 标准网络通信需求，通信稳定性及兼容性符合相关行业规范。</w:t>
      </w:r>
    </w:p>
    <w:p w14:paraId="3DC07244">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3</w:t>
      </w:r>
      <w:r>
        <w:rPr>
          <w:rFonts w:hint="eastAsia" w:ascii="宋体" w:hAnsi="宋体" w:eastAsia="宋体" w:cs="宋体"/>
          <w:szCs w:val="28"/>
        </w:rPr>
        <w:t>.负责提供网络模块接入全流程所需辅材及服务，具体包括但不限于：超五类网络跳线（单点位约3米）、网络水晶头、安装底盒、槽板等，所有辅材需符合国家通信产品质量标准，提供产品合格证。</w:t>
      </w:r>
    </w:p>
    <w:p w14:paraId="56F4B7A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4</w:t>
      </w:r>
      <w:r>
        <w:rPr>
          <w:rFonts w:hint="eastAsia" w:ascii="宋体" w:hAnsi="宋体" w:eastAsia="宋体" w:cs="宋体"/>
          <w:szCs w:val="28"/>
        </w:rPr>
        <w:t>.依据采购方提供的工位布局方案及网络 IP 地址规划信息开展专项调试工作，严格遵循 “一工位一内网点位+一外网点位” 的配置原则，确保点位功能与工位需求精准匹配。</w:t>
      </w:r>
    </w:p>
    <w:p w14:paraId="27C33D9C">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5</w:t>
      </w:r>
      <w:r>
        <w:rPr>
          <w:rFonts w:hint="eastAsia" w:ascii="宋体" w:hAnsi="宋体" w:eastAsia="宋体" w:cs="宋体"/>
          <w:szCs w:val="28"/>
        </w:rPr>
        <w:t>.模块接入施工须全面符合建筑隐蔽工程施工规范及医院办公区域管理要求，布线走向清晰、固定牢固，办公区域外露线路须办公区域外露线路须采用阻燃槽板封装固定，布线规范整齐，符合医院消防安全及环境管理要求。</w:t>
      </w:r>
    </w:p>
    <w:p w14:paraId="1697BF01">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lang w:val="en-US" w:eastAsia="zh-CN"/>
        </w:rPr>
        <w:t>6</w:t>
      </w:r>
      <w:r>
        <w:rPr>
          <w:rFonts w:hint="eastAsia" w:ascii="宋体" w:hAnsi="宋体" w:eastAsia="宋体" w:cs="宋体"/>
          <w:szCs w:val="28"/>
        </w:rPr>
        <w:t>.配合采购方院区搬迁工作，提供全程技术支持，包括但不限于目标区域网络点位终端 IP 地址配置、网络连通性测试及故障排查，确保搬迁后网络系统快速恢复正常运行。</w:t>
      </w:r>
    </w:p>
    <w:p w14:paraId="4EC70B67">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（二）网络布线点位</w:t>
      </w:r>
    </w:p>
    <w:p w14:paraId="5AE8158A">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1.从采购方指定弱电井至各办公工位实施全程布线施工，线路传输性能需满足 RJ45 标准网络通信要求，支持千兆及以上带宽传输，确保通信延时、丢包率等关键指标符合行业标准。</w:t>
      </w:r>
    </w:p>
    <w:p w14:paraId="2F1CD513">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2.负责提供布线工程全流程所需辅材及服务，具体包括但不限于：超五类网络跳线（单点位约60米）、网络水晶头、安装底盒、槽板等，所有辅材需符合国家通信产品质量标准，提供产品合格证。</w:t>
      </w:r>
    </w:p>
    <w:p w14:paraId="63CF7978">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3.依据采购方提供的工位布局方案及网络 IP 地址规划信息开展专项调试工作，严格遵循 “一工位一内网点位+一外网点位” 的配置原则，确保点位功能与工位需求精准匹配。</w:t>
      </w:r>
    </w:p>
    <w:p w14:paraId="4D29091B">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4.布线施工须严格遵循隐蔽工程施工规范，墙面、地面等布线区域须做防护处理，避免破坏原有装修结构；</w:t>
      </w:r>
      <w:bookmarkStart w:id="0" w:name="OLE_LINK43"/>
      <w:bookmarkStart w:id="1" w:name="OLE_LINK44"/>
      <w:r>
        <w:rPr>
          <w:rFonts w:hint="eastAsia" w:ascii="宋体" w:hAnsi="宋体" w:eastAsia="宋体" w:cs="宋体"/>
          <w:szCs w:val="28"/>
        </w:rPr>
        <w:t>办公区域外露线路须采用阻燃槽板封装固定</w:t>
      </w:r>
      <w:bookmarkEnd w:id="0"/>
      <w:r>
        <w:rPr>
          <w:rFonts w:hint="eastAsia" w:ascii="宋体" w:hAnsi="宋体" w:eastAsia="宋体" w:cs="宋体"/>
          <w:szCs w:val="28"/>
        </w:rPr>
        <w:t>，布线规范整齐，符合医院消防安全及环境管理要求。</w:t>
      </w:r>
    </w:p>
    <w:bookmarkEnd w:id="1"/>
    <w:p w14:paraId="39D78716">
      <w:pPr>
        <w:snapToGrid w:val="0"/>
        <w:spacing w:line="520" w:lineRule="exact"/>
        <w:ind w:firstLine="420" w:firstLineChars="200"/>
        <w:rPr>
          <w:rFonts w:hint="eastAsia" w:ascii="宋体" w:hAnsi="宋体" w:eastAsia="宋体" w:cs="宋体"/>
          <w:szCs w:val="28"/>
        </w:rPr>
      </w:pPr>
      <w:r>
        <w:rPr>
          <w:rFonts w:hint="eastAsia" w:ascii="宋体" w:hAnsi="宋体" w:eastAsia="宋体" w:cs="宋体"/>
          <w:szCs w:val="28"/>
        </w:rPr>
        <w:t>5.配合采购方院区搬迁计划，提前完成新址布线点位的预调试，搬迁期间提供现场技术支持，包括终端设备IP地址配置、网络连通性测试及突发故障应急处理，确保搬迁后网络系统无缝衔接、稳定运行。</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0D8CAE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1.资质材料：有效的三证合一营业执照（经营范围包含相应内容）。</w:t>
      </w:r>
    </w:p>
    <w:p w14:paraId="1DBBD14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2.质保要求：3年及以上。</w:t>
      </w:r>
    </w:p>
    <w:p w14:paraId="5B2A9D5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3.报价要求：投标报价包含但不限于货款、税费、运输费、保险费、安装费、调试费等各项费用。分别报出网络模块接入点位、网络布线点位单价，根据网络点位单价据实结算。</w:t>
      </w:r>
    </w:p>
    <w:p w14:paraId="54746C7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4.工期要求：合同签订后，供货方应在接到采购方电话通知5天内完成所有网络点位的布线、安装和调试。</w:t>
      </w:r>
    </w:p>
    <w:p w14:paraId="0D5B320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5.安全要求：施工过程中，供货方应采取有效的安全措施，保证工作人员和其他人员的人身安全，并承担因安全事故导致的一切经济和法律责任。如有损坏财产须照价赔偿。</w:t>
      </w:r>
    </w:p>
    <w:p w14:paraId="1B22EB34">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6.验收方式：供货方按期施工，布线、安装和调试完成且正常运行后双方组织验收，合格后双方共同签字确认。</w:t>
      </w:r>
    </w:p>
    <w:p w14:paraId="478E5E5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7.付款方式：合同签订后供货方向采购方转账支付合同金额的8%作为履约保证金。验收合格后供货方提供验收资料和合法发票，经采购方审核无误后60日内转账支付结算价款。履约保证金在质保期满后无息退还。</w:t>
      </w:r>
    </w:p>
    <w:p w14:paraId="0D6B4523">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8.售后服务：维修响应时间为2小时，4小时内应安排维修人员到达现场维修，质保期内免费维修，质保期外维修只收取材料费。</w:t>
      </w:r>
    </w:p>
    <w:p w14:paraId="51458258">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34DE6C50">
      <w:pPr>
        <w:spacing w:line="400" w:lineRule="exact"/>
        <w:jc w:val="center"/>
        <w:rPr>
          <w:rFonts w:hint="eastAsia" w:ascii="楷体" w:hAnsi="楷体" w:eastAsia="楷体" w:cs="楷体"/>
          <w:b/>
          <w:sz w:val="24"/>
          <w:szCs w:val="24"/>
        </w:rPr>
      </w:pPr>
      <w:r>
        <w:rPr>
          <w:rFonts w:hint="eastAsia" w:ascii="楷体" w:hAnsi="楷体" w:eastAsia="楷体" w:cs="楷体"/>
          <w:b/>
          <w:kern w:val="0"/>
          <w:sz w:val="24"/>
          <w:szCs w:val="24"/>
        </w:rPr>
        <w:t>报</w:t>
      </w:r>
      <w:r>
        <w:rPr>
          <w:rFonts w:hint="eastAsia" w:ascii="楷体" w:hAnsi="楷体" w:eastAsia="楷体" w:cs="楷体"/>
          <w:b/>
          <w:sz w:val="24"/>
          <w:szCs w:val="24"/>
        </w:rPr>
        <w:t>价单参考模板</w:t>
      </w:r>
    </w:p>
    <w:tbl>
      <w:tblPr>
        <w:tblStyle w:val="11"/>
        <w:tblW w:w="936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5718"/>
        <w:gridCol w:w="1737"/>
      </w:tblGrid>
      <w:tr w14:paraId="40B1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905" w:type="dxa"/>
            <w:tcBorders>
              <w:top w:val="single" w:color="auto" w:sz="4" w:space="0"/>
              <w:left w:val="single" w:color="auto" w:sz="4" w:space="0"/>
              <w:bottom w:val="single" w:color="auto" w:sz="4" w:space="0"/>
              <w:right w:val="single" w:color="auto" w:sz="4" w:space="0"/>
            </w:tcBorders>
            <w:vAlign w:val="center"/>
          </w:tcPr>
          <w:p w14:paraId="1339782E">
            <w:pPr>
              <w:spacing w:line="440" w:lineRule="exact"/>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名称</w:t>
            </w:r>
          </w:p>
        </w:tc>
        <w:tc>
          <w:tcPr>
            <w:tcW w:w="5718" w:type="dxa"/>
            <w:tcBorders>
              <w:top w:val="single" w:color="auto" w:sz="4" w:space="0"/>
              <w:left w:val="single" w:color="auto" w:sz="4" w:space="0"/>
              <w:bottom w:val="single" w:color="auto" w:sz="4" w:space="0"/>
              <w:right w:val="single" w:color="auto" w:sz="4" w:space="0"/>
            </w:tcBorders>
            <w:vAlign w:val="center"/>
          </w:tcPr>
          <w:p w14:paraId="57D13F49">
            <w:pPr>
              <w:spacing w:line="440" w:lineRule="exact"/>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价格（元）</w:t>
            </w:r>
          </w:p>
        </w:tc>
        <w:tc>
          <w:tcPr>
            <w:tcW w:w="1737" w:type="dxa"/>
            <w:tcBorders>
              <w:top w:val="single" w:color="auto" w:sz="4" w:space="0"/>
              <w:left w:val="single" w:color="auto" w:sz="4" w:space="0"/>
              <w:bottom w:val="single" w:color="auto" w:sz="4" w:space="0"/>
              <w:right w:val="single" w:color="auto" w:sz="4" w:space="0"/>
            </w:tcBorders>
            <w:vAlign w:val="center"/>
          </w:tcPr>
          <w:p w14:paraId="45F744AD">
            <w:pPr>
              <w:spacing w:line="440" w:lineRule="exact"/>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备注</w:t>
            </w:r>
          </w:p>
        </w:tc>
      </w:tr>
      <w:tr w14:paraId="085D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1905" w:type="dxa"/>
            <w:tcBorders>
              <w:top w:val="single" w:color="auto" w:sz="4" w:space="0"/>
              <w:left w:val="single" w:color="auto" w:sz="4" w:space="0"/>
              <w:bottom w:val="single" w:color="auto" w:sz="4" w:space="0"/>
              <w:right w:val="single" w:color="auto" w:sz="4" w:space="0"/>
            </w:tcBorders>
            <w:vAlign w:val="center"/>
          </w:tcPr>
          <w:p w14:paraId="62A40BEB">
            <w:pPr>
              <w:spacing w:line="310" w:lineRule="exact"/>
              <w:jc w:val="center"/>
              <w:rPr>
                <w:rFonts w:hint="eastAsia" w:ascii="楷体" w:hAnsi="楷体" w:eastAsia="楷体"/>
                <w:b/>
                <w:kern w:val="0"/>
                <w:sz w:val="24"/>
                <w:szCs w:val="24"/>
                <w:lang w:eastAsia="zh-CN"/>
              </w:rPr>
            </w:pPr>
            <w:r>
              <w:rPr>
                <w:rFonts w:hint="eastAsia" w:ascii="楷体" w:hAnsi="楷体" w:eastAsia="楷体"/>
                <w:b/>
                <w:kern w:val="0"/>
                <w:sz w:val="24"/>
                <w:szCs w:val="24"/>
                <w:lang w:eastAsia="zh-CN"/>
              </w:rPr>
              <w:t>兴龙湖院区全科楼办公区域</w:t>
            </w:r>
          </w:p>
          <w:p w14:paraId="425FEFA7">
            <w:pPr>
              <w:spacing w:line="440" w:lineRule="exact"/>
              <w:jc w:val="center"/>
              <w:rPr>
                <w:rFonts w:hint="eastAsia" w:ascii="楷体" w:hAnsi="楷体" w:eastAsia="楷体" w:cs="楷体"/>
                <w:color w:val="auto"/>
                <w:sz w:val="24"/>
                <w:szCs w:val="24"/>
              </w:rPr>
            </w:pPr>
            <w:r>
              <w:rPr>
                <w:rFonts w:hint="eastAsia" w:ascii="楷体" w:hAnsi="楷体" w:eastAsia="楷体"/>
                <w:b/>
                <w:kern w:val="0"/>
                <w:sz w:val="24"/>
                <w:szCs w:val="24"/>
                <w:lang w:eastAsia="zh-CN"/>
              </w:rPr>
              <w:t>网络点位补充服务</w:t>
            </w:r>
          </w:p>
        </w:tc>
        <w:tc>
          <w:tcPr>
            <w:tcW w:w="5718" w:type="dxa"/>
            <w:tcBorders>
              <w:top w:val="single" w:color="auto" w:sz="4" w:space="0"/>
              <w:left w:val="single" w:color="auto" w:sz="4" w:space="0"/>
              <w:bottom w:val="single" w:color="auto" w:sz="4" w:space="0"/>
              <w:right w:val="single" w:color="auto" w:sz="4" w:space="0"/>
            </w:tcBorders>
            <w:vAlign w:val="center"/>
          </w:tcPr>
          <w:p w14:paraId="3EA8004A">
            <w:pPr>
              <w:spacing w:line="440" w:lineRule="exact"/>
              <w:ind w:right="210"/>
              <w:jc w:val="center"/>
              <w:rPr>
                <w:rFonts w:hint="eastAsia" w:ascii="楷体" w:hAnsi="楷体" w:eastAsia="楷体" w:cs="楷体"/>
                <w:color w:val="auto"/>
                <w:sz w:val="24"/>
                <w:szCs w:val="24"/>
              </w:rPr>
            </w:pPr>
          </w:p>
        </w:tc>
        <w:tc>
          <w:tcPr>
            <w:tcW w:w="1737" w:type="dxa"/>
            <w:tcBorders>
              <w:top w:val="single" w:color="auto" w:sz="4" w:space="0"/>
              <w:left w:val="single" w:color="auto" w:sz="4" w:space="0"/>
              <w:bottom w:val="single" w:color="auto" w:sz="4" w:space="0"/>
              <w:right w:val="single" w:color="auto" w:sz="4" w:space="0"/>
            </w:tcBorders>
            <w:vAlign w:val="center"/>
          </w:tcPr>
          <w:p w14:paraId="7150B2C3">
            <w:pPr>
              <w:spacing w:line="440" w:lineRule="exact"/>
              <w:jc w:val="center"/>
              <w:rPr>
                <w:rFonts w:hint="eastAsia" w:ascii="楷体" w:hAnsi="楷体" w:eastAsia="楷体" w:cs="楷体"/>
                <w:color w:val="auto"/>
                <w:sz w:val="24"/>
                <w:szCs w:val="24"/>
              </w:rPr>
            </w:pPr>
          </w:p>
        </w:tc>
      </w:tr>
      <w:tr w14:paraId="1543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3F75DF6B">
            <w:pPr>
              <w:spacing w:line="440" w:lineRule="exact"/>
              <w:jc w:val="left"/>
              <w:rPr>
                <w:rFonts w:hint="eastAsia" w:ascii="楷体" w:hAnsi="楷体" w:eastAsia="楷体" w:cs="楷体"/>
                <w:sz w:val="24"/>
                <w:szCs w:val="24"/>
              </w:rPr>
            </w:pPr>
            <w:r>
              <w:rPr>
                <w:rFonts w:hint="eastAsia" w:ascii="楷体" w:hAnsi="楷体" w:eastAsia="楷体" w:cs="楷体"/>
                <w:b/>
                <w:sz w:val="24"/>
                <w:szCs w:val="24"/>
              </w:rPr>
              <w:t>最终成交价：</w:t>
            </w:r>
            <w:r>
              <w:rPr>
                <w:rFonts w:hint="eastAsia" w:ascii="楷体" w:hAnsi="楷体" w:eastAsia="楷体" w:cs="楷体"/>
                <w:sz w:val="24"/>
                <w:szCs w:val="24"/>
              </w:rPr>
              <w:t xml:space="preserve"> </w:t>
            </w:r>
          </w:p>
        </w:tc>
      </w:tr>
      <w:tr w14:paraId="7504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73A65C17">
            <w:pPr>
              <w:spacing w:line="440" w:lineRule="exact"/>
              <w:rPr>
                <w:rFonts w:hint="eastAsia" w:ascii="楷体" w:hAnsi="楷体" w:eastAsia="楷体" w:cs="楷体"/>
                <w:sz w:val="24"/>
                <w:szCs w:val="24"/>
              </w:rPr>
            </w:pPr>
            <w:r>
              <w:rPr>
                <w:rFonts w:hint="eastAsia" w:ascii="楷体" w:hAnsi="楷体" w:eastAsia="楷体" w:cs="楷体"/>
                <w:b/>
                <w:sz w:val="24"/>
                <w:szCs w:val="24"/>
              </w:rPr>
              <w:t>质保期：</w:t>
            </w:r>
            <w:r>
              <w:rPr>
                <w:rFonts w:hint="eastAsia" w:ascii="楷体" w:hAnsi="楷体" w:eastAsia="楷体" w:cs="楷体"/>
                <w:sz w:val="24"/>
                <w:szCs w:val="24"/>
              </w:rPr>
              <w:t xml:space="preserve"> </w:t>
            </w:r>
          </w:p>
        </w:tc>
      </w:tr>
      <w:tr w14:paraId="54C7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00CEC1E2">
            <w:pPr>
              <w:spacing w:line="440" w:lineRule="exact"/>
              <w:rPr>
                <w:rFonts w:hint="eastAsia" w:ascii="楷体" w:hAnsi="楷体" w:eastAsia="楷体" w:cs="楷体"/>
                <w:b/>
                <w:sz w:val="24"/>
                <w:szCs w:val="24"/>
              </w:rPr>
            </w:pPr>
            <w:r>
              <w:rPr>
                <w:rFonts w:hint="eastAsia" w:ascii="楷体" w:hAnsi="楷体" w:eastAsia="楷体" w:cs="楷体"/>
                <w:b/>
                <w:sz w:val="24"/>
                <w:szCs w:val="24"/>
              </w:rPr>
              <w:t>到货期：</w:t>
            </w:r>
          </w:p>
        </w:tc>
      </w:tr>
      <w:tr w14:paraId="05E5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3FB1E38E">
            <w:pPr>
              <w:spacing w:line="440" w:lineRule="exact"/>
              <w:rPr>
                <w:rFonts w:hint="eastAsia" w:ascii="楷体" w:hAnsi="楷体" w:eastAsia="楷体"/>
                <w:b/>
                <w:bCs/>
                <w:sz w:val="24"/>
                <w:szCs w:val="24"/>
                <w:lang w:val="en-US" w:eastAsia="zh-CN"/>
              </w:rPr>
            </w:pPr>
            <w:r>
              <w:rPr>
                <w:rFonts w:hint="eastAsia" w:ascii="楷体" w:hAnsi="楷体" w:eastAsia="楷体"/>
                <w:b/>
                <w:sz w:val="24"/>
                <w:szCs w:val="24"/>
              </w:rPr>
              <w:t>备注：</w:t>
            </w:r>
            <w:r>
              <w:rPr>
                <w:rFonts w:hint="eastAsia" w:ascii="楷体" w:hAnsi="楷体" w:eastAsia="楷体" w:cs="宋体"/>
                <w:b/>
                <w:sz w:val="24"/>
              </w:rPr>
              <w:t>上述费用为包干总价，包括不限于</w:t>
            </w:r>
            <w:r>
              <w:rPr>
                <w:rFonts w:hint="eastAsia" w:ascii="楷体" w:hAnsi="楷体" w:eastAsia="楷体" w:cs="宋体"/>
                <w:b/>
                <w:sz w:val="24"/>
                <w:lang w:eastAsia="zh-CN"/>
              </w:rPr>
              <w:t>人工费、材料费、服务费、税费等费用</w:t>
            </w:r>
          </w:p>
        </w:tc>
      </w:tr>
    </w:tbl>
    <w:p w14:paraId="1273447B">
      <w:pPr>
        <w:rPr>
          <w:rFonts w:hint="eastAsia" w:ascii="楷体" w:hAnsi="楷体" w:eastAsia="楷体" w:cs="楷体"/>
          <w:b/>
          <w:sz w:val="24"/>
          <w:szCs w:val="24"/>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4C29339E">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A4A209B"/>
    <w:rsid w:val="0AD16319"/>
    <w:rsid w:val="0BE45BD8"/>
    <w:rsid w:val="0C4735CD"/>
    <w:rsid w:val="0E1924B1"/>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5925CC"/>
    <w:rsid w:val="33C702F3"/>
    <w:rsid w:val="33CC347E"/>
    <w:rsid w:val="33D25E81"/>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E564138"/>
    <w:rsid w:val="4F361873"/>
    <w:rsid w:val="4FE237A9"/>
    <w:rsid w:val="50C80BF1"/>
    <w:rsid w:val="516A7EFA"/>
    <w:rsid w:val="51823496"/>
    <w:rsid w:val="521265C8"/>
    <w:rsid w:val="529214B7"/>
    <w:rsid w:val="52CF1BE3"/>
    <w:rsid w:val="53FE0C17"/>
    <w:rsid w:val="542720D3"/>
    <w:rsid w:val="556B5310"/>
    <w:rsid w:val="55AF63B2"/>
    <w:rsid w:val="55F54236"/>
    <w:rsid w:val="5732516C"/>
    <w:rsid w:val="57534CD3"/>
    <w:rsid w:val="595B6AA6"/>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2A56FE4"/>
    <w:rsid w:val="62B45479"/>
    <w:rsid w:val="641C6E32"/>
    <w:rsid w:val="64354398"/>
    <w:rsid w:val="649317EA"/>
    <w:rsid w:val="64BB489D"/>
    <w:rsid w:val="657B7B5D"/>
    <w:rsid w:val="66246472"/>
    <w:rsid w:val="66522FDF"/>
    <w:rsid w:val="66BA2932"/>
    <w:rsid w:val="67080658"/>
    <w:rsid w:val="67F228C3"/>
    <w:rsid w:val="683E7CBF"/>
    <w:rsid w:val="68585908"/>
    <w:rsid w:val="6959079B"/>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5A7F45"/>
    <w:rsid w:val="78EF58E5"/>
    <w:rsid w:val="79154129"/>
    <w:rsid w:val="79393481"/>
    <w:rsid w:val="79823710"/>
    <w:rsid w:val="7A0B33E2"/>
    <w:rsid w:val="7A4A42A1"/>
    <w:rsid w:val="7C2F7ACB"/>
    <w:rsid w:val="7D4D6EDE"/>
    <w:rsid w:val="7DE14F1D"/>
    <w:rsid w:val="7DF52776"/>
    <w:rsid w:val="7DF76C7F"/>
    <w:rsid w:val="7E21356B"/>
    <w:rsid w:val="7E6B47E6"/>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1189</Words>
  <Characters>1238</Characters>
  <Lines>12</Lines>
  <Paragraphs>3</Paragraphs>
  <TotalTime>1</TotalTime>
  <ScaleCrop>false</ScaleCrop>
  <LinksUpToDate>false</LinksUpToDate>
  <CharactersWithSpaces>1433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2025-11-04T09:47:21Z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