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5A919">
      <w:pPr>
        <w:pStyle w:val="3"/>
        <w:ind w:left="0" w:leftChars="0" w:firstLine="0" w:firstLineChars="0"/>
        <w:jc w:val="lef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8BAA8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重庆市三级综合医疗机构全科医疗安全（不良）事件</w:t>
      </w:r>
    </w:p>
    <w:p w14:paraId="2B8CC7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专项督查评分表</w:t>
      </w:r>
    </w:p>
    <w:p w14:paraId="6F0E6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8"/>
          <w:lang w:val="en-US" w:eastAsia="zh-CN"/>
        </w:rPr>
      </w:pPr>
      <w:r>
        <w:rPr>
          <w:rFonts w:hint="eastAsia" w:ascii="方正小标宋简体" w:hAnsi="方正小标宋简体" w:eastAsia="方正小标宋简体" w:cs="方正小标宋简体"/>
          <w:sz w:val="44"/>
          <w:szCs w:val="48"/>
          <w:lang w:val="en-US" w:eastAsia="zh-CN"/>
        </w:rPr>
        <w:t xml:space="preserve"> </w:t>
      </w:r>
    </w:p>
    <w:p w14:paraId="53E6AB15">
      <w:pPr>
        <w:pStyle w:val="8"/>
      </w:pPr>
      <w:r>
        <w:rPr>
          <w:rFonts w:hint="eastAsia"/>
        </w:rPr>
        <w:t>单位名称（盖章）：</w:t>
      </w:r>
      <w:r>
        <w:rPr>
          <w:rFonts w:hint="eastAsia"/>
          <w:u w:val="single"/>
        </w:rPr>
        <w:t xml:space="preserve">                                   </w:t>
      </w:r>
      <w:r>
        <w:rPr>
          <w:rFonts w:hint="eastAsia"/>
        </w:rPr>
        <w:t xml:space="preserve">             督导专家：</w:t>
      </w:r>
      <w:r>
        <w:rPr>
          <w:rFonts w:hint="eastAsia"/>
          <w:u w:val="single"/>
        </w:rPr>
        <w:t xml:space="preserve">                </w:t>
      </w:r>
      <w:r>
        <w:rPr>
          <w:rFonts w:hint="eastAsia"/>
        </w:rPr>
        <w:t>、</w:t>
      </w:r>
      <w:r>
        <w:rPr>
          <w:rFonts w:hint="eastAsia"/>
          <w:u w:val="single"/>
        </w:rPr>
        <w:t xml:space="preserve">                   </w:t>
      </w:r>
      <w:r>
        <w:rPr>
          <w:rFonts w:hint="eastAsia"/>
        </w:rPr>
        <w:t xml:space="preserve">、   </w:t>
      </w:r>
    </w:p>
    <w:p w14:paraId="7BF1DBAE">
      <w:pPr>
        <w:pStyle w:val="8"/>
      </w:pPr>
      <w:r>
        <w:rPr>
          <w:rFonts w:hint="eastAsia"/>
        </w:rPr>
        <w:t xml:space="preserve">分属区域：  </w:t>
      </w:r>
      <w:r>
        <w:rPr>
          <w:rFonts w:hint="eastAsia"/>
        </w:rPr>
        <w:sym w:font="Wingdings 2" w:char="00A3"/>
      </w:r>
      <w:r>
        <w:rPr>
          <w:rFonts w:hint="eastAsia"/>
        </w:rPr>
        <w:t xml:space="preserve"> 主城  </w:t>
      </w:r>
      <w:r>
        <w:rPr>
          <w:rFonts w:hint="eastAsia"/>
        </w:rPr>
        <w:sym w:font="Wingdings 2" w:char="00A3"/>
      </w:r>
      <w:r>
        <w:rPr>
          <w:rFonts w:hint="eastAsia"/>
        </w:rPr>
        <w:t xml:space="preserve"> 渝西 </w:t>
      </w:r>
      <w:r>
        <w:rPr>
          <w:rFonts w:hint="eastAsia"/>
        </w:rPr>
        <w:sym w:font="Wingdings 2" w:char="00A3"/>
      </w:r>
      <w:r>
        <w:rPr>
          <w:rFonts w:hint="eastAsia"/>
        </w:rPr>
        <w:t xml:space="preserve"> 渝东南  </w:t>
      </w:r>
      <w:r>
        <w:rPr>
          <w:rFonts w:hint="eastAsia"/>
        </w:rPr>
        <w:sym w:font="Wingdings 2" w:char="00A3"/>
      </w:r>
      <w:r>
        <w:rPr>
          <w:rFonts w:hint="eastAsia"/>
        </w:rPr>
        <w:t xml:space="preserve"> 渝东北      </w:t>
      </w:r>
      <w:r>
        <w:rPr>
          <w:rFonts w:hint="eastAsia"/>
          <w:lang w:val="en-US" w:eastAsia="zh-CN"/>
        </w:rPr>
        <w:t xml:space="preserve">    </w:t>
      </w:r>
      <w:r>
        <w:rPr>
          <w:rFonts w:hint="eastAsia"/>
        </w:rPr>
        <w:t xml:space="preserve">        时    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5"/>
        <w:tblW w:w="13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147"/>
        <w:gridCol w:w="960"/>
        <w:gridCol w:w="1169"/>
        <w:gridCol w:w="5727"/>
        <w:gridCol w:w="648"/>
        <w:gridCol w:w="1613"/>
        <w:gridCol w:w="1744"/>
      </w:tblGrid>
      <w:tr w14:paraId="4219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tblHeader/>
          <w:jc w:val="center"/>
        </w:trPr>
        <w:tc>
          <w:tcPr>
            <w:tcW w:w="1147" w:type="dxa"/>
            <w:tcBorders>
              <w:top w:val="single" w:color="auto" w:sz="12" w:space="0"/>
              <w:left w:val="nil"/>
              <w:bottom w:val="single" w:color="auto" w:sz="4" w:space="0"/>
              <w:right w:val="nil"/>
            </w:tcBorders>
            <w:noWrap w:val="0"/>
            <w:vAlign w:val="center"/>
          </w:tcPr>
          <w:p w14:paraId="79086972">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一级指标</w:t>
            </w:r>
          </w:p>
        </w:tc>
        <w:tc>
          <w:tcPr>
            <w:tcW w:w="960" w:type="dxa"/>
            <w:tcBorders>
              <w:top w:val="single" w:color="auto" w:sz="12" w:space="0"/>
              <w:left w:val="nil"/>
              <w:bottom w:val="single" w:color="auto" w:sz="4" w:space="0"/>
              <w:right w:val="nil"/>
            </w:tcBorders>
            <w:noWrap w:val="0"/>
            <w:vAlign w:val="center"/>
          </w:tcPr>
          <w:p w14:paraId="2740419E">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二级指标</w:t>
            </w:r>
          </w:p>
        </w:tc>
        <w:tc>
          <w:tcPr>
            <w:tcW w:w="1169" w:type="dxa"/>
            <w:tcBorders>
              <w:top w:val="single" w:color="auto" w:sz="12" w:space="0"/>
              <w:left w:val="nil"/>
              <w:bottom w:val="single" w:color="auto" w:sz="4" w:space="0"/>
              <w:right w:val="nil"/>
            </w:tcBorders>
            <w:noWrap w:val="0"/>
            <w:vAlign w:val="center"/>
          </w:tcPr>
          <w:p w14:paraId="54383A40">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三级指标</w:t>
            </w:r>
          </w:p>
        </w:tc>
        <w:tc>
          <w:tcPr>
            <w:tcW w:w="5727" w:type="dxa"/>
            <w:tcBorders>
              <w:top w:val="single" w:color="auto" w:sz="12" w:space="0"/>
              <w:left w:val="nil"/>
              <w:bottom w:val="single" w:color="auto" w:sz="4" w:space="0"/>
              <w:right w:val="nil"/>
            </w:tcBorders>
            <w:noWrap w:val="0"/>
            <w:vAlign w:val="center"/>
          </w:tcPr>
          <w:p w14:paraId="3AE8563B">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评分标准</w:t>
            </w:r>
          </w:p>
        </w:tc>
        <w:tc>
          <w:tcPr>
            <w:tcW w:w="648" w:type="dxa"/>
            <w:tcBorders>
              <w:top w:val="single" w:color="auto" w:sz="12" w:space="0"/>
              <w:left w:val="nil"/>
              <w:bottom w:val="single" w:color="auto" w:sz="4" w:space="0"/>
              <w:right w:val="nil"/>
            </w:tcBorders>
            <w:noWrap w:val="0"/>
            <w:vAlign w:val="center"/>
          </w:tcPr>
          <w:p w14:paraId="344FDAFF">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分值</w:t>
            </w:r>
          </w:p>
        </w:tc>
        <w:tc>
          <w:tcPr>
            <w:tcW w:w="1613" w:type="dxa"/>
            <w:tcBorders>
              <w:top w:val="single" w:color="auto" w:sz="12" w:space="0"/>
              <w:left w:val="nil"/>
              <w:bottom w:val="single" w:color="auto" w:sz="4" w:space="0"/>
              <w:right w:val="nil"/>
            </w:tcBorders>
            <w:noWrap w:val="0"/>
            <w:vAlign w:val="center"/>
          </w:tcPr>
          <w:p w14:paraId="03BECCA0">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自评分</w:t>
            </w:r>
          </w:p>
          <w:p w14:paraId="0A3F6A7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（附扣分原因）</w:t>
            </w:r>
          </w:p>
        </w:tc>
        <w:tc>
          <w:tcPr>
            <w:tcW w:w="1744" w:type="dxa"/>
            <w:tcBorders>
              <w:top w:val="single" w:color="auto" w:sz="12" w:space="0"/>
              <w:left w:val="nil"/>
              <w:bottom w:val="single" w:color="auto" w:sz="4" w:space="0"/>
              <w:right w:val="nil"/>
            </w:tcBorders>
            <w:noWrap w:val="0"/>
            <w:vAlign w:val="center"/>
          </w:tcPr>
          <w:p w14:paraId="5E0AA47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督导评分</w:t>
            </w:r>
          </w:p>
          <w:p w14:paraId="63FACD5E">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（附扣分原因）</w:t>
            </w:r>
          </w:p>
        </w:tc>
      </w:tr>
      <w:tr w14:paraId="1A92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restart"/>
            <w:tcBorders>
              <w:top w:val="single" w:color="auto" w:sz="4" w:space="0"/>
              <w:left w:val="nil"/>
              <w:right w:val="nil"/>
            </w:tcBorders>
            <w:noWrap w:val="0"/>
            <w:vAlign w:val="center"/>
          </w:tcPr>
          <w:p w14:paraId="3D599210">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一、制度与机制建设（20分）</w:t>
            </w:r>
          </w:p>
        </w:tc>
        <w:tc>
          <w:tcPr>
            <w:tcW w:w="960" w:type="dxa"/>
            <w:tcBorders>
              <w:top w:val="single" w:color="auto" w:sz="4" w:space="0"/>
              <w:left w:val="nil"/>
              <w:bottom w:val="nil"/>
              <w:right w:val="nil"/>
            </w:tcBorders>
            <w:noWrap w:val="0"/>
            <w:vAlign w:val="center"/>
          </w:tcPr>
          <w:p w14:paraId="1A844CFC">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制度完善性（8 分）</w:t>
            </w:r>
          </w:p>
        </w:tc>
        <w:tc>
          <w:tcPr>
            <w:tcW w:w="1169" w:type="dxa"/>
            <w:tcBorders>
              <w:top w:val="single" w:color="auto" w:sz="4" w:space="0"/>
              <w:left w:val="nil"/>
              <w:bottom w:val="nil"/>
              <w:right w:val="nil"/>
            </w:tcBorders>
            <w:noWrap w:val="0"/>
            <w:vAlign w:val="center"/>
          </w:tcPr>
          <w:p w14:paraId="2C375F7A">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不良事件管理制度制定</w:t>
            </w:r>
          </w:p>
        </w:tc>
        <w:tc>
          <w:tcPr>
            <w:tcW w:w="5727" w:type="dxa"/>
            <w:tcBorders>
              <w:top w:val="single" w:color="auto" w:sz="4" w:space="0"/>
              <w:left w:val="nil"/>
              <w:bottom w:val="nil"/>
              <w:right w:val="nil"/>
            </w:tcBorders>
            <w:noWrap w:val="0"/>
            <w:vAlign w:val="center"/>
          </w:tcPr>
          <w:p w14:paraId="1035C5FE">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机构未制定不良事件管理制度文件，不得分；2. 制度未明确 “上报流程、责任分工、事件分级标准” 任一核心内容，每项扣 3 分；3. 制度未结合本院实际，扣 2 分。</w:t>
            </w:r>
          </w:p>
        </w:tc>
        <w:tc>
          <w:tcPr>
            <w:tcW w:w="648" w:type="dxa"/>
            <w:tcBorders>
              <w:top w:val="single" w:color="auto" w:sz="4" w:space="0"/>
              <w:left w:val="nil"/>
              <w:bottom w:val="nil"/>
              <w:right w:val="nil"/>
            </w:tcBorders>
            <w:noWrap w:val="0"/>
            <w:vAlign w:val="center"/>
          </w:tcPr>
          <w:p w14:paraId="12E19A5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8</w:t>
            </w:r>
          </w:p>
        </w:tc>
        <w:tc>
          <w:tcPr>
            <w:tcW w:w="1613" w:type="dxa"/>
            <w:tcBorders>
              <w:top w:val="single" w:color="auto" w:sz="4" w:space="0"/>
              <w:left w:val="nil"/>
              <w:bottom w:val="nil"/>
              <w:right w:val="nil"/>
            </w:tcBorders>
            <w:noWrap w:val="0"/>
            <w:vAlign w:val="center"/>
          </w:tcPr>
          <w:p w14:paraId="66747A39">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single" w:color="auto" w:sz="4" w:space="0"/>
              <w:left w:val="nil"/>
              <w:bottom w:val="nil"/>
              <w:right w:val="nil"/>
            </w:tcBorders>
            <w:noWrap w:val="0"/>
            <w:vAlign w:val="center"/>
          </w:tcPr>
          <w:p w14:paraId="108FC104">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62C9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continue"/>
            <w:tcBorders>
              <w:left w:val="nil"/>
              <w:bottom w:val="nil"/>
              <w:right w:val="nil"/>
            </w:tcBorders>
            <w:noWrap w:val="0"/>
            <w:vAlign w:val="center"/>
          </w:tcPr>
          <w:p w14:paraId="35EA62A9">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p>
        </w:tc>
        <w:tc>
          <w:tcPr>
            <w:tcW w:w="960" w:type="dxa"/>
            <w:tcBorders>
              <w:top w:val="nil"/>
              <w:left w:val="nil"/>
              <w:bottom w:val="nil"/>
              <w:right w:val="nil"/>
            </w:tcBorders>
            <w:noWrap w:val="0"/>
            <w:vAlign w:val="center"/>
          </w:tcPr>
          <w:p w14:paraId="20724B26">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2. 机制建立（12 分）</w:t>
            </w:r>
          </w:p>
        </w:tc>
        <w:tc>
          <w:tcPr>
            <w:tcW w:w="1169" w:type="dxa"/>
            <w:tcBorders>
              <w:top w:val="nil"/>
              <w:left w:val="nil"/>
              <w:bottom w:val="nil"/>
              <w:right w:val="nil"/>
            </w:tcBorders>
            <w:noWrap w:val="0"/>
            <w:vAlign w:val="center"/>
          </w:tcPr>
          <w:p w14:paraId="7634ED5C">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上报目标与奖励机制</w:t>
            </w:r>
          </w:p>
        </w:tc>
        <w:tc>
          <w:tcPr>
            <w:tcW w:w="5727" w:type="dxa"/>
            <w:tcBorders>
              <w:top w:val="nil"/>
              <w:left w:val="nil"/>
              <w:bottom w:val="nil"/>
              <w:right w:val="nil"/>
            </w:tcBorders>
            <w:noWrap w:val="0"/>
            <w:vAlign w:val="center"/>
          </w:tcPr>
          <w:p w14:paraId="4DA2DADE">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未按国家 “每百出院人次主动报告率达 2.5 例次” 标准设定不良事件上报目标值，扣 5 分；2. 未建立 Ⅲ、Ⅳ 级不良事件上报奖励机制，扣 5 分；3. 奖励机制无具体执行细则（如奖励标准、发放流程），扣 2 分。</w:t>
            </w:r>
          </w:p>
        </w:tc>
        <w:tc>
          <w:tcPr>
            <w:tcW w:w="648" w:type="dxa"/>
            <w:tcBorders>
              <w:top w:val="nil"/>
              <w:left w:val="nil"/>
              <w:bottom w:val="nil"/>
              <w:right w:val="nil"/>
            </w:tcBorders>
            <w:noWrap w:val="0"/>
            <w:vAlign w:val="center"/>
          </w:tcPr>
          <w:p w14:paraId="577E40F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12</w:t>
            </w:r>
          </w:p>
        </w:tc>
        <w:tc>
          <w:tcPr>
            <w:tcW w:w="1613" w:type="dxa"/>
            <w:tcBorders>
              <w:top w:val="nil"/>
              <w:left w:val="nil"/>
              <w:bottom w:val="nil"/>
              <w:right w:val="nil"/>
            </w:tcBorders>
            <w:noWrap w:val="0"/>
            <w:vAlign w:val="center"/>
          </w:tcPr>
          <w:p w14:paraId="1BC13990">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67BFF379">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197F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restart"/>
            <w:tcBorders>
              <w:top w:val="nil"/>
              <w:left w:val="nil"/>
              <w:right w:val="nil"/>
            </w:tcBorders>
            <w:noWrap w:val="0"/>
            <w:vAlign w:val="center"/>
          </w:tcPr>
          <w:p w14:paraId="34F8B927">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二、上报数量与质量（30 分）</w:t>
            </w:r>
          </w:p>
        </w:tc>
        <w:tc>
          <w:tcPr>
            <w:tcW w:w="960" w:type="dxa"/>
            <w:tcBorders>
              <w:top w:val="nil"/>
              <w:left w:val="nil"/>
              <w:bottom w:val="nil"/>
              <w:right w:val="nil"/>
            </w:tcBorders>
            <w:noWrap w:val="0"/>
            <w:vAlign w:val="center"/>
          </w:tcPr>
          <w:p w14:paraId="576A6075">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数量达标情况（10 分）</w:t>
            </w:r>
          </w:p>
        </w:tc>
        <w:tc>
          <w:tcPr>
            <w:tcW w:w="1169" w:type="dxa"/>
            <w:tcBorders>
              <w:top w:val="nil"/>
              <w:left w:val="nil"/>
              <w:bottom w:val="nil"/>
              <w:right w:val="nil"/>
            </w:tcBorders>
            <w:noWrap w:val="0"/>
            <w:vAlign w:val="center"/>
          </w:tcPr>
          <w:p w14:paraId="6327776C">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年度目标完成度</w:t>
            </w:r>
          </w:p>
        </w:tc>
        <w:tc>
          <w:tcPr>
            <w:tcW w:w="5727" w:type="dxa"/>
            <w:tcBorders>
              <w:top w:val="nil"/>
              <w:left w:val="nil"/>
              <w:bottom w:val="nil"/>
              <w:right w:val="nil"/>
            </w:tcBorders>
            <w:noWrap w:val="0"/>
            <w:vAlign w:val="center"/>
          </w:tcPr>
          <w:p w14:paraId="7CC519F4">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按国家 “每百出院人次主动报告率达 2.5 例次” 标准及机构设定年度目标值综合评定，完成 100% 及以上得 10 分，完成 80%-99% 得 8 分，完成 60%-79% 得 6 分，完成 60% 以下得 3 分；2.2025 年以来存在连续 3 个月零上报情况，每次扣 3 分（最多扣 5 分）。</w:t>
            </w:r>
          </w:p>
        </w:tc>
        <w:tc>
          <w:tcPr>
            <w:tcW w:w="648" w:type="dxa"/>
            <w:tcBorders>
              <w:top w:val="nil"/>
              <w:left w:val="nil"/>
              <w:bottom w:val="nil"/>
              <w:right w:val="nil"/>
            </w:tcBorders>
            <w:noWrap w:val="0"/>
            <w:vAlign w:val="center"/>
          </w:tcPr>
          <w:p w14:paraId="45B68641">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10</w:t>
            </w:r>
          </w:p>
        </w:tc>
        <w:tc>
          <w:tcPr>
            <w:tcW w:w="1613" w:type="dxa"/>
            <w:tcBorders>
              <w:top w:val="nil"/>
              <w:left w:val="nil"/>
              <w:bottom w:val="nil"/>
              <w:right w:val="nil"/>
            </w:tcBorders>
            <w:noWrap w:val="0"/>
            <w:vAlign w:val="center"/>
          </w:tcPr>
          <w:p w14:paraId="600007C9">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63C157F6">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0E62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continue"/>
            <w:tcBorders>
              <w:left w:val="nil"/>
              <w:right w:val="nil"/>
            </w:tcBorders>
            <w:noWrap w:val="0"/>
            <w:vAlign w:val="center"/>
          </w:tcPr>
          <w:p w14:paraId="57752EA0">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p>
        </w:tc>
        <w:tc>
          <w:tcPr>
            <w:tcW w:w="960" w:type="dxa"/>
            <w:tcBorders>
              <w:top w:val="nil"/>
              <w:left w:val="nil"/>
              <w:bottom w:val="nil"/>
              <w:right w:val="nil"/>
            </w:tcBorders>
            <w:noWrap w:val="0"/>
            <w:vAlign w:val="center"/>
          </w:tcPr>
          <w:p w14:paraId="185DCC5B">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2. 上报质量（12 分）</w:t>
            </w:r>
          </w:p>
        </w:tc>
        <w:tc>
          <w:tcPr>
            <w:tcW w:w="1169" w:type="dxa"/>
            <w:tcBorders>
              <w:top w:val="nil"/>
              <w:left w:val="nil"/>
              <w:bottom w:val="nil"/>
              <w:right w:val="nil"/>
            </w:tcBorders>
            <w:noWrap w:val="0"/>
            <w:vAlign w:val="center"/>
          </w:tcPr>
          <w:p w14:paraId="33682D31">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填报规范性、原因分析与整改措施</w:t>
            </w:r>
          </w:p>
        </w:tc>
        <w:tc>
          <w:tcPr>
            <w:tcW w:w="5727" w:type="dxa"/>
            <w:tcBorders>
              <w:top w:val="nil"/>
              <w:left w:val="nil"/>
              <w:bottom w:val="nil"/>
              <w:right w:val="nil"/>
            </w:tcBorders>
            <w:noWrap w:val="0"/>
            <w:vAlign w:val="center"/>
          </w:tcPr>
          <w:p w14:paraId="7BA77886">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随机抽查 10 例上报记录，存在 “事件时间、处置措施、分级判定” 信息缺失，每例扣 1 分（最多扣 4 分）；2. 上报事件未开展深刻全面的原因分析，每例扣 1 分（最多扣 3 分）；3. 未针对上报事件制定有效整改措施，每例扣 1 分（最多扣 3 分）；4. 未采用系统上报（仍用手工登记填报），扣 2 分（原 4 分）。</w:t>
            </w:r>
          </w:p>
        </w:tc>
        <w:tc>
          <w:tcPr>
            <w:tcW w:w="648" w:type="dxa"/>
            <w:tcBorders>
              <w:top w:val="nil"/>
              <w:left w:val="nil"/>
              <w:bottom w:val="nil"/>
              <w:right w:val="nil"/>
            </w:tcBorders>
            <w:noWrap w:val="0"/>
            <w:vAlign w:val="center"/>
          </w:tcPr>
          <w:p w14:paraId="725D34CF">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12</w:t>
            </w:r>
          </w:p>
        </w:tc>
        <w:tc>
          <w:tcPr>
            <w:tcW w:w="1613" w:type="dxa"/>
            <w:tcBorders>
              <w:top w:val="nil"/>
              <w:left w:val="nil"/>
              <w:bottom w:val="nil"/>
              <w:right w:val="nil"/>
            </w:tcBorders>
            <w:noWrap w:val="0"/>
            <w:vAlign w:val="center"/>
          </w:tcPr>
          <w:p w14:paraId="7E84FCE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3669F9CA">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399C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continue"/>
            <w:tcBorders>
              <w:left w:val="nil"/>
              <w:bottom w:val="nil"/>
              <w:right w:val="nil"/>
            </w:tcBorders>
            <w:noWrap w:val="0"/>
            <w:vAlign w:val="center"/>
          </w:tcPr>
          <w:p w14:paraId="64DFBC6B">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p>
        </w:tc>
        <w:tc>
          <w:tcPr>
            <w:tcW w:w="960" w:type="dxa"/>
            <w:tcBorders>
              <w:top w:val="nil"/>
              <w:left w:val="nil"/>
              <w:bottom w:val="nil"/>
              <w:right w:val="nil"/>
            </w:tcBorders>
            <w:noWrap w:val="0"/>
            <w:vAlign w:val="center"/>
          </w:tcPr>
          <w:p w14:paraId="484F0CB4">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3. 事件级别与类别质量（8分）</w:t>
            </w:r>
          </w:p>
        </w:tc>
        <w:tc>
          <w:tcPr>
            <w:tcW w:w="1169" w:type="dxa"/>
            <w:tcBorders>
              <w:top w:val="nil"/>
              <w:left w:val="nil"/>
              <w:bottom w:val="nil"/>
              <w:right w:val="nil"/>
            </w:tcBorders>
            <w:noWrap w:val="0"/>
            <w:vAlign w:val="center"/>
          </w:tcPr>
          <w:p w14:paraId="1DD99CC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级别内涵与类别多样性</w:t>
            </w:r>
          </w:p>
        </w:tc>
        <w:tc>
          <w:tcPr>
            <w:tcW w:w="5727" w:type="dxa"/>
            <w:tcBorders>
              <w:top w:val="nil"/>
              <w:left w:val="nil"/>
              <w:bottom w:val="nil"/>
              <w:right w:val="nil"/>
            </w:tcBorders>
            <w:noWrap w:val="0"/>
            <w:vAlign w:val="center"/>
          </w:tcPr>
          <w:p w14:paraId="3553C8C4">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上报事件中仅为隐患事件（无实际损害后果事件）占比超 80%，扣 5 分；2. 上报事件类别仅集中于设备器械、环境类（占比超 70%），未涵盖诊疗、护理、药物等多类别，扣 3 分。</w:t>
            </w:r>
          </w:p>
        </w:tc>
        <w:tc>
          <w:tcPr>
            <w:tcW w:w="648" w:type="dxa"/>
            <w:tcBorders>
              <w:top w:val="nil"/>
              <w:left w:val="nil"/>
              <w:bottom w:val="nil"/>
              <w:right w:val="nil"/>
            </w:tcBorders>
            <w:noWrap w:val="0"/>
            <w:vAlign w:val="center"/>
          </w:tcPr>
          <w:p w14:paraId="4DE0B0B0">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8</w:t>
            </w:r>
          </w:p>
        </w:tc>
        <w:tc>
          <w:tcPr>
            <w:tcW w:w="1613" w:type="dxa"/>
            <w:tcBorders>
              <w:top w:val="nil"/>
              <w:left w:val="nil"/>
              <w:bottom w:val="nil"/>
              <w:right w:val="nil"/>
            </w:tcBorders>
            <w:noWrap w:val="0"/>
            <w:vAlign w:val="center"/>
          </w:tcPr>
          <w:p w14:paraId="54D846D7">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384D12C4">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683B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restart"/>
            <w:tcBorders>
              <w:top w:val="nil"/>
              <w:left w:val="nil"/>
              <w:right w:val="nil"/>
            </w:tcBorders>
            <w:noWrap w:val="0"/>
            <w:vAlign w:val="center"/>
          </w:tcPr>
          <w:p w14:paraId="30E818D2">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三、漏报控制与自查（20 分）</w:t>
            </w:r>
          </w:p>
        </w:tc>
        <w:tc>
          <w:tcPr>
            <w:tcW w:w="960" w:type="dxa"/>
            <w:tcBorders>
              <w:top w:val="nil"/>
              <w:left w:val="nil"/>
              <w:bottom w:val="nil"/>
              <w:right w:val="nil"/>
            </w:tcBorders>
            <w:noWrap w:val="0"/>
            <w:vAlign w:val="center"/>
          </w:tcPr>
          <w:p w14:paraId="6BBBB3E6">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漏报控制（10 分）</w:t>
            </w:r>
          </w:p>
        </w:tc>
        <w:tc>
          <w:tcPr>
            <w:tcW w:w="1169" w:type="dxa"/>
            <w:tcBorders>
              <w:top w:val="nil"/>
              <w:left w:val="nil"/>
              <w:bottom w:val="nil"/>
              <w:right w:val="nil"/>
            </w:tcBorders>
            <w:noWrap w:val="0"/>
            <w:vAlign w:val="center"/>
          </w:tcPr>
          <w:p w14:paraId="23DA8BEF">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漏报识别与管控</w:t>
            </w:r>
          </w:p>
        </w:tc>
        <w:tc>
          <w:tcPr>
            <w:tcW w:w="5727" w:type="dxa"/>
            <w:tcBorders>
              <w:top w:val="nil"/>
              <w:left w:val="nil"/>
              <w:bottom w:val="nil"/>
              <w:right w:val="nil"/>
            </w:tcBorders>
            <w:noWrap w:val="0"/>
            <w:vAlign w:val="center"/>
          </w:tcPr>
          <w:p w14:paraId="49D3ED15">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未建立漏报事件排查机制（如定期核对医院质控科备案数据），扣 5 分；2. 现场抽查发现漏报事件（如已发生未上报的 Ⅰ、Ⅱ 级事件），每例扣 3 分（最多扣 5 分）。</w:t>
            </w:r>
          </w:p>
        </w:tc>
        <w:tc>
          <w:tcPr>
            <w:tcW w:w="648" w:type="dxa"/>
            <w:tcBorders>
              <w:top w:val="nil"/>
              <w:left w:val="nil"/>
              <w:bottom w:val="nil"/>
              <w:right w:val="nil"/>
            </w:tcBorders>
            <w:noWrap w:val="0"/>
            <w:vAlign w:val="center"/>
          </w:tcPr>
          <w:p w14:paraId="2878A96A">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10</w:t>
            </w:r>
          </w:p>
        </w:tc>
        <w:tc>
          <w:tcPr>
            <w:tcW w:w="1613" w:type="dxa"/>
            <w:tcBorders>
              <w:top w:val="nil"/>
              <w:left w:val="nil"/>
              <w:bottom w:val="nil"/>
              <w:right w:val="nil"/>
            </w:tcBorders>
            <w:noWrap w:val="0"/>
            <w:vAlign w:val="center"/>
          </w:tcPr>
          <w:p w14:paraId="3CD0FD80">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1D12C7DD">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2BB2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continue"/>
            <w:tcBorders>
              <w:left w:val="nil"/>
              <w:bottom w:val="nil"/>
              <w:right w:val="nil"/>
            </w:tcBorders>
            <w:noWrap w:val="0"/>
            <w:vAlign w:val="center"/>
          </w:tcPr>
          <w:p w14:paraId="558EE862">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p>
        </w:tc>
        <w:tc>
          <w:tcPr>
            <w:tcW w:w="960" w:type="dxa"/>
            <w:tcBorders>
              <w:top w:val="nil"/>
              <w:left w:val="nil"/>
              <w:bottom w:val="nil"/>
              <w:right w:val="nil"/>
            </w:tcBorders>
            <w:noWrap w:val="0"/>
            <w:vAlign w:val="center"/>
          </w:tcPr>
          <w:p w14:paraId="0C581B7A">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2. 自查开展（10 分）</w:t>
            </w:r>
          </w:p>
        </w:tc>
        <w:tc>
          <w:tcPr>
            <w:tcW w:w="1169" w:type="dxa"/>
            <w:tcBorders>
              <w:top w:val="nil"/>
              <w:left w:val="nil"/>
              <w:bottom w:val="nil"/>
              <w:right w:val="nil"/>
            </w:tcBorders>
            <w:noWrap w:val="0"/>
            <w:vAlign w:val="center"/>
          </w:tcPr>
          <w:p w14:paraId="55A86B31">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自查报告与问题清单</w:t>
            </w:r>
          </w:p>
        </w:tc>
        <w:tc>
          <w:tcPr>
            <w:tcW w:w="5727" w:type="dxa"/>
            <w:tcBorders>
              <w:top w:val="nil"/>
              <w:left w:val="nil"/>
              <w:bottom w:val="nil"/>
              <w:right w:val="nil"/>
            </w:tcBorders>
            <w:noWrap w:val="0"/>
            <w:vAlign w:val="center"/>
          </w:tcPr>
          <w:p w14:paraId="2F1CC25A">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未对照《不良事件专项督查评分表》开展全面自查，不得分；2. 自查报告未包含 “问题清单、初步整改措施”，扣 6 分；3. 自查报告未按时（10 月 31 日前）报送至区域及市全科质控中心，扣 4 分。</w:t>
            </w:r>
          </w:p>
        </w:tc>
        <w:tc>
          <w:tcPr>
            <w:tcW w:w="648" w:type="dxa"/>
            <w:tcBorders>
              <w:top w:val="nil"/>
              <w:left w:val="nil"/>
              <w:bottom w:val="nil"/>
              <w:right w:val="nil"/>
            </w:tcBorders>
            <w:noWrap w:val="0"/>
            <w:vAlign w:val="center"/>
          </w:tcPr>
          <w:p w14:paraId="0F17A7E9">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10</w:t>
            </w:r>
          </w:p>
        </w:tc>
        <w:tc>
          <w:tcPr>
            <w:tcW w:w="1613" w:type="dxa"/>
            <w:tcBorders>
              <w:top w:val="nil"/>
              <w:left w:val="nil"/>
              <w:bottom w:val="nil"/>
              <w:right w:val="nil"/>
            </w:tcBorders>
            <w:noWrap w:val="0"/>
            <w:vAlign w:val="center"/>
          </w:tcPr>
          <w:p w14:paraId="623B1B34">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21A0FF44">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06CA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restart"/>
            <w:tcBorders>
              <w:top w:val="nil"/>
              <w:left w:val="nil"/>
              <w:right w:val="nil"/>
            </w:tcBorders>
            <w:noWrap w:val="0"/>
            <w:vAlign w:val="center"/>
          </w:tcPr>
          <w:p w14:paraId="203D1A0B">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四、人员培训与认知（15 分）</w:t>
            </w:r>
          </w:p>
        </w:tc>
        <w:tc>
          <w:tcPr>
            <w:tcW w:w="960" w:type="dxa"/>
            <w:tcBorders>
              <w:top w:val="nil"/>
              <w:left w:val="nil"/>
              <w:bottom w:val="nil"/>
              <w:right w:val="nil"/>
            </w:tcBorders>
            <w:noWrap w:val="0"/>
            <w:vAlign w:val="center"/>
          </w:tcPr>
          <w:p w14:paraId="1A32EFEA">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培训实施（9 分）</w:t>
            </w:r>
          </w:p>
        </w:tc>
        <w:tc>
          <w:tcPr>
            <w:tcW w:w="1169" w:type="dxa"/>
            <w:tcBorders>
              <w:top w:val="nil"/>
              <w:left w:val="nil"/>
              <w:bottom w:val="nil"/>
              <w:right w:val="nil"/>
            </w:tcBorders>
            <w:noWrap w:val="0"/>
            <w:vAlign w:val="center"/>
          </w:tcPr>
          <w:p w14:paraId="7F313209">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培训频次、覆盖与记录</w:t>
            </w:r>
          </w:p>
        </w:tc>
        <w:tc>
          <w:tcPr>
            <w:tcW w:w="5727" w:type="dxa"/>
            <w:tcBorders>
              <w:top w:val="nil"/>
              <w:left w:val="nil"/>
              <w:bottom w:val="nil"/>
              <w:right w:val="nil"/>
            </w:tcBorders>
            <w:noWrap w:val="0"/>
            <w:vAlign w:val="center"/>
          </w:tcPr>
          <w:p w14:paraId="7CE59901">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1.2025 年度未开展 / 参加不良事件相关培训，不得分；2. 年度培训频次 &lt; 2 次，扣 5 分；3. 培训未覆盖本科室 90% 及以上医务人员（以签到表为准），每缺 10% 扣 2 分（最多扣 2 分）；4. 无培训记录（如课件、会议纪要），扣2分。</w:t>
            </w:r>
          </w:p>
        </w:tc>
        <w:tc>
          <w:tcPr>
            <w:tcW w:w="648" w:type="dxa"/>
            <w:tcBorders>
              <w:top w:val="nil"/>
              <w:left w:val="nil"/>
              <w:bottom w:val="nil"/>
              <w:right w:val="nil"/>
            </w:tcBorders>
            <w:noWrap w:val="0"/>
            <w:vAlign w:val="center"/>
          </w:tcPr>
          <w:p w14:paraId="3F70EBC0">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8</w:t>
            </w:r>
          </w:p>
        </w:tc>
        <w:tc>
          <w:tcPr>
            <w:tcW w:w="1613" w:type="dxa"/>
            <w:tcBorders>
              <w:top w:val="nil"/>
              <w:left w:val="nil"/>
              <w:bottom w:val="nil"/>
              <w:right w:val="nil"/>
            </w:tcBorders>
            <w:noWrap w:val="0"/>
            <w:vAlign w:val="center"/>
          </w:tcPr>
          <w:p w14:paraId="33C6C465">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7C37EB38">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73CB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continue"/>
            <w:tcBorders>
              <w:left w:val="nil"/>
              <w:bottom w:val="nil"/>
              <w:right w:val="nil"/>
            </w:tcBorders>
            <w:noWrap w:val="0"/>
            <w:vAlign w:val="center"/>
          </w:tcPr>
          <w:p w14:paraId="7122F9F1">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p>
        </w:tc>
        <w:tc>
          <w:tcPr>
            <w:tcW w:w="960" w:type="dxa"/>
            <w:tcBorders>
              <w:top w:val="nil"/>
              <w:left w:val="nil"/>
              <w:bottom w:val="nil"/>
              <w:right w:val="nil"/>
            </w:tcBorders>
            <w:noWrap w:val="0"/>
            <w:vAlign w:val="center"/>
          </w:tcPr>
          <w:p w14:paraId="5DF86E31">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2. 认知掌握（6分）</w:t>
            </w:r>
          </w:p>
        </w:tc>
        <w:tc>
          <w:tcPr>
            <w:tcW w:w="1169" w:type="dxa"/>
            <w:tcBorders>
              <w:top w:val="nil"/>
              <w:left w:val="nil"/>
              <w:bottom w:val="nil"/>
              <w:right w:val="nil"/>
            </w:tcBorders>
            <w:noWrap w:val="0"/>
            <w:vAlign w:val="center"/>
          </w:tcPr>
          <w:p w14:paraId="23188FA7">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核心知识掌握度</w:t>
            </w:r>
          </w:p>
        </w:tc>
        <w:tc>
          <w:tcPr>
            <w:tcW w:w="5727" w:type="dxa"/>
            <w:tcBorders>
              <w:top w:val="nil"/>
              <w:left w:val="nil"/>
              <w:bottom w:val="nil"/>
              <w:right w:val="nil"/>
            </w:tcBorders>
            <w:noWrap w:val="0"/>
            <w:vAlign w:val="center"/>
          </w:tcPr>
          <w:p w14:paraId="7ADD9EC7">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随机抽查 3 名医护人员，1 人未掌握 “上报时限、Ⅰ/Ⅱ 级事件处置流程”，扣 2 分（最多扣 6 分）。</w:t>
            </w:r>
          </w:p>
        </w:tc>
        <w:tc>
          <w:tcPr>
            <w:tcW w:w="648" w:type="dxa"/>
            <w:tcBorders>
              <w:top w:val="nil"/>
              <w:left w:val="nil"/>
              <w:bottom w:val="nil"/>
              <w:right w:val="nil"/>
            </w:tcBorders>
            <w:noWrap w:val="0"/>
            <w:vAlign w:val="center"/>
          </w:tcPr>
          <w:p w14:paraId="6AC7961D">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7</w:t>
            </w:r>
          </w:p>
        </w:tc>
        <w:tc>
          <w:tcPr>
            <w:tcW w:w="1613" w:type="dxa"/>
            <w:tcBorders>
              <w:top w:val="nil"/>
              <w:left w:val="nil"/>
              <w:bottom w:val="nil"/>
              <w:right w:val="nil"/>
            </w:tcBorders>
            <w:noWrap w:val="0"/>
            <w:vAlign w:val="center"/>
          </w:tcPr>
          <w:p w14:paraId="17ADB3F2">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55631A97">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79CE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restart"/>
            <w:tcBorders>
              <w:top w:val="nil"/>
              <w:left w:val="nil"/>
              <w:right w:val="nil"/>
            </w:tcBorders>
            <w:noWrap w:val="0"/>
            <w:vAlign w:val="center"/>
          </w:tcPr>
          <w:p w14:paraId="697586D0">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五、整改与持续改进（15 分）</w:t>
            </w:r>
          </w:p>
        </w:tc>
        <w:tc>
          <w:tcPr>
            <w:tcW w:w="960" w:type="dxa"/>
            <w:tcBorders>
              <w:top w:val="nil"/>
              <w:left w:val="nil"/>
              <w:bottom w:val="nil"/>
              <w:right w:val="nil"/>
            </w:tcBorders>
            <w:noWrap w:val="0"/>
            <w:vAlign w:val="center"/>
          </w:tcPr>
          <w:p w14:paraId="526ED642">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问题整改（8 分）</w:t>
            </w:r>
          </w:p>
        </w:tc>
        <w:tc>
          <w:tcPr>
            <w:tcW w:w="1169" w:type="dxa"/>
            <w:tcBorders>
              <w:top w:val="nil"/>
              <w:left w:val="nil"/>
              <w:bottom w:val="nil"/>
              <w:right w:val="nil"/>
            </w:tcBorders>
            <w:noWrap w:val="0"/>
            <w:vAlign w:val="center"/>
          </w:tcPr>
          <w:p w14:paraId="6EE34B38">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整改措施落实</w:t>
            </w:r>
          </w:p>
        </w:tc>
        <w:tc>
          <w:tcPr>
            <w:tcW w:w="5727" w:type="dxa"/>
            <w:tcBorders>
              <w:top w:val="nil"/>
              <w:left w:val="nil"/>
              <w:bottom w:val="nil"/>
              <w:right w:val="nil"/>
            </w:tcBorders>
            <w:noWrap w:val="0"/>
            <w:vAlign w:val="center"/>
          </w:tcPr>
          <w:p w14:paraId="7352B7D5">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 未针对自查 / 医务科督查发现问题制定整改方案，不得分；2. 整改方案未明确 “责任人、完成时限”，每项扣 2 分；3. 整改未完成（无验证材料，如整改后抽查记录），每项扣 2 分（最多扣 4 分）。</w:t>
            </w:r>
          </w:p>
        </w:tc>
        <w:tc>
          <w:tcPr>
            <w:tcW w:w="648" w:type="dxa"/>
            <w:tcBorders>
              <w:top w:val="nil"/>
              <w:left w:val="nil"/>
              <w:bottom w:val="nil"/>
              <w:right w:val="nil"/>
            </w:tcBorders>
            <w:noWrap w:val="0"/>
            <w:vAlign w:val="center"/>
          </w:tcPr>
          <w:p w14:paraId="0EDD0BAC">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8</w:t>
            </w:r>
          </w:p>
        </w:tc>
        <w:tc>
          <w:tcPr>
            <w:tcW w:w="1613" w:type="dxa"/>
            <w:tcBorders>
              <w:top w:val="nil"/>
              <w:left w:val="nil"/>
              <w:bottom w:val="nil"/>
              <w:right w:val="nil"/>
            </w:tcBorders>
            <w:noWrap w:val="0"/>
            <w:vAlign w:val="center"/>
          </w:tcPr>
          <w:p w14:paraId="00A0BF74">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6B1675E1">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5643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1147" w:type="dxa"/>
            <w:vMerge w:val="continue"/>
            <w:tcBorders>
              <w:left w:val="nil"/>
              <w:bottom w:val="nil"/>
              <w:right w:val="nil"/>
            </w:tcBorders>
            <w:noWrap w:val="0"/>
            <w:vAlign w:val="center"/>
          </w:tcPr>
          <w:p w14:paraId="2929AC43">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p>
        </w:tc>
        <w:tc>
          <w:tcPr>
            <w:tcW w:w="960" w:type="dxa"/>
            <w:tcBorders>
              <w:top w:val="nil"/>
              <w:left w:val="nil"/>
              <w:bottom w:val="nil"/>
              <w:right w:val="nil"/>
            </w:tcBorders>
            <w:noWrap w:val="0"/>
            <w:vAlign w:val="center"/>
          </w:tcPr>
          <w:p w14:paraId="13FD1A47">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2. 持续改进（7 分）</w:t>
            </w:r>
          </w:p>
        </w:tc>
        <w:tc>
          <w:tcPr>
            <w:tcW w:w="1169" w:type="dxa"/>
            <w:tcBorders>
              <w:top w:val="nil"/>
              <w:left w:val="nil"/>
              <w:bottom w:val="nil"/>
              <w:right w:val="nil"/>
            </w:tcBorders>
            <w:noWrap w:val="0"/>
            <w:vAlign w:val="center"/>
          </w:tcPr>
          <w:p w14:paraId="4C735B4A">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根因分析与优化</w:t>
            </w:r>
          </w:p>
        </w:tc>
        <w:tc>
          <w:tcPr>
            <w:tcW w:w="5727" w:type="dxa"/>
            <w:tcBorders>
              <w:top w:val="nil"/>
              <w:left w:val="nil"/>
              <w:bottom w:val="nil"/>
              <w:right w:val="nil"/>
            </w:tcBorders>
            <w:noWrap w:val="0"/>
            <w:vAlign w:val="center"/>
          </w:tcPr>
          <w:p w14:paraId="7C47D8FB">
            <w:pPr>
              <w:pStyle w:val="8"/>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bCs/>
              </w:rPr>
            </w:pPr>
            <w:r>
              <w:rPr>
                <w:rFonts w:hint="eastAsia"/>
                <w:bCs/>
              </w:rPr>
              <w:t>1.2025 年以来发生的 Ⅰ、Ⅱ 级事件，每缺 1 例根因分析报告扣 3 分；2. 对频发性事件（如跌倒 / 坠床、药物不良反应）未开展流程优化，扣 3 分；3. 未定期回顾不良事件管理效果（如事件发生率变化），扣 1 分。</w:t>
            </w:r>
          </w:p>
        </w:tc>
        <w:tc>
          <w:tcPr>
            <w:tcW w:w="648" w:type="dxa"/>
            <w:tcBorders>
              <w:top w:val="nil"/>
              <w:left w:val="nil"/>
              <w:bottom w:val="nil"/>
              <w:right w:val="nil"/>
            </w:tcBorders>
            <w:noWrap w:val="0"/>
            <w:vAlign w:val="center"/>
          </w:tcPr>
          <w:p w14:paraId="64F8DFEE">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7</w:t>
            </w:r>
          </w:p>
        </w:tc>
        <w:tc>
          <w:tcPr>
            <w:tcW w:w="1613" w:type="dxa"/>
            <w:tcBorders>
              <w:top w:val="nil"/>
              <w:left w:val="nil"/>
              <w:bottom w:val="nil"/>
              <w:right w:val="nil"/>
            </w:tcBorders>
            <w:noWrap w:val="0"/>
            <w:vAlign w:val="center"/>
          </w:tcPr>
          <w:p w14:paraId="0F7B7923">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nil"/>
              <w:right w:val="nil"/>
            </w:tcBorders>
            <w:noWrap w:val="0"/>
            <w:vAlign w:val="center"/>
          </w:tcPr>
          <w:p w14:paraId="19D6025A">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r w14:paraId="0116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7" w:hRule="atLeast"/>
          <w:jc w:val="center"/>
        </w:trPr>
        <w:tc>
          <w:tcPr>
            <w:tcW w:w="9003" w:type="dxa"/>
            <w:gridSpan w:val="4"/>
            <w:tcBorders>
              <w:top w:val="nil"/>
              <w:left w:val="nil"/>
              <w:bottom w:val="single" w:color="auto" w:sz="12" w:space="0"/>
              <w:right w:val="nil"/>
            </w:tcBorders>
            <w:noWrap w:val="0"/>
            <w:vAlign w:val="center"/>
          </w:tcPr>
          <w:p w14:paraId="1E404A47">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合计</w:t>
            </w:r>
          </w:p>
        </w:tc>
        <w:tc>
          <w:tcPr>
            <w:tcW w:w="648" w:type="dxa"/>
            <w:tcBorders>
              <w:top w:val="nil"/>
              <w:left w:val="nil"/>
              <w:bottom w:val="single" w:color="auto" w:sz="12" w:space="0"/>
              <w:right w:val="nil"/>
            </w:tcBorders>
            <w:noWrap w:val="0"/>
            <w:vAlign w:val="center"/>
          </w:tcPr>
          <w:p w14:paraId="6746F19F">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r>
              <w:rPr>
                <w:rFonts w:hint="eastAsia"/>
                <w:bCs/>
              </w:rPr>
              <w:t>100</w:t>
            </w:r>
          </w:p>
        </w:tc>
        <w:tc>
          <w:tcPr>
            <w:tcW w:w="1613" w:type="dxa"/>
            <w:tcBorders>
              <w:top w:val="nil"/>
              <w:left w:val="nil"/>
              <w:bottom w:val="single" w:color="auto" w:sz="12" w:space="0"/>
              <w:right w:val="nil"/>
            </w:tcBorders>
            <w:noWrap w:val="0"/>
            <w:vAlign w:val="center"/>
          </w:tcPr>
          <w:p w14:paraId="4B8E13A3">
            <w:pPr>
              <w:pStyle w:val="8"/>
              <w:keepNext w:val="0"/>
              <w:keepLines w:val="0"/>
              <w:pageBreakBefore w:val="0"/>
              <w:widowControl/>
              <w:kinsoku/>
              <w:wordWrap/>
              <w:overflowPunct/>
              <w:topLinePunct w:val="0"/>
              <w:autoSpaceDE/>
              <w:autoSpaceDN/>
              <w:bidi w:val="0"/>
              <w:adjustRightInd w:val="0"/>
              <w:snapToGrid w:val="0"/>
              <w:spacing w:before="0" w:after="0" w:line="240" w:lineRule="auto"/>
              <w:jc w:val="right"/>
              <w:textAlignment w:val="auto"/>
              <w:rPr>
                <w:bCs/>
              </w:rPr>
            </w:pPr>
          </w:p>
        </w:tc>
        <w:tc>
          <w:tcPr>
            <w:tcW w:w="1744" w:type="dxa"/>
            <w:tcBorders>
              <w:top w:val="nil"/>
              <w:left w:val="nil"/>
              <w:bottom w:val="single" w:color="auto" w:sz="12" w:space="0"/>
              <w:right w:val="nil"/>
            </w:tcBorders>
            <w:noWrap w:val="0"/>
            <w:vAlign w:val="center"/>
          </w:tcPr>
          <w:p w14:paraId="0DD9FA8A">
            <w:pPr>
              <w:pStyle w:val="8"/>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bCs/>
              </w:rPr>
            </w:pPr>
          </w:p>
        </w:tc>
      </w:tr>
    </w:tbl>
    <w:p w14:paraId="41999EB5">
      <w:pPr>
        <w:pStyle w:val="2"/>
        <w:keepNext/>
        <w:keepLines/>
        <w:pageBreakBefore w:val="0"/>
        <w:widowControl/>
        <w:kinsoku/>
        <w:wordWrap/>
        <w:overflowPunct/>
        <w:topLinePunct w:val="0"/>
        <w:autoSpaceDE/>
        <w:autoSpaceDN/>
        <w:bidi w:val="0"/>
        <w:adjustRightInd w:val="0"/>
        <w:snapToGrid w:val="0"/>
        <w:spacing w:line="240" w:lineRule="auto"/>
        <w:ind w:firstLine="0" w:firstLineChars="0"/>
        <w:textAlignment w:val="auto"/>
        <w:rPr>
          <w:rFonts w:ascii="Arial" w:hAnsi="Arial" w:eastAsia="等线" w:cs="Arial"/>
          <w:sz w:val="21"/>
          <w:szCs w:val="21"/>
        </w:rPr>
      </w:pPr>
      <w:r>
        <w:rPr>
          <w:rFonts w:ascii="Arial" w:hAnsi="Arial" w:eastAsia="等线" w:cs="Arial"/>
          <w:b/>
          <w:bCs/>
          <w:sz w:val="21"/>
          <w:szCs w:val="21"/>
        </w:rPr>
        <w:t>说明</w:t>
      </w:r>
      <w:r>
        <w:rPr>
          <w:rFonts w:hint="eastAsia" w:ascii="Arial" w:hAnsi="Arial" w:eastAsia="等线" w:cs="Arial"/>
          <w:sz w:val="21"/>
          <w:szCs w:val="21"/>
        </w:rPr>
        <w:t>：</w:t>
      </w:r>
    </w:p>
    <w:p w14:paraId="19EED308">
      <w:pPr>
        <w:pStyle w:val="2"/>
        <w:keepNext/>
        <w:keepLines/>
        <w:pageBreakBefore w:val="0"/>
        <w:widowControl/>
        <w:kinsoku/>
        <w:wordWrap/>
        <w:overflowPunct/>
        <w:topLinePunct w:val="0"/>
        <w:autoSpaceDE/>
        <w:autoSpaceDN/>
        <w:bidi w:val="0"/>
        <w:adjustRightInd w:val="0"/>
        <w:snapToGrid w:val="0"/>
        <w:spacing w:line="240" w:lineRule="auto"/>
        <w:ind w:firstLine="0" w:firstLineChars="0"/>
        <w:textAlignment w:val="auto"/>
        <w:rPr>
          <w:rFonts w:ascii="Arial" w:hAnsi="Arial" w:eastAsia="等线" w:cs="Arial"/>
          <w:sz w:val="21"/>
          <w:szCs w:val="21"/>
        </w:rPr>
      </w:pPr>
      <w:r>
        <w:rPr>
          <w:rFonts w:ascii="Arial" w:hAnsi="Arial" w:eastAsia="等线" w:cs="Arial"/>
          <w:sz w:val="21"/>
          <w:szCs w:val="21"/>
        </w:rPr>
        <w:t>1.资料依据：评分严格参照《关于开展全市三级综合医疗机构全科医学科不良事件管理专项督查行动的通知》中自查、督查要求，国家 “每百出院人次主动报告率达 2.5 例次” 标准，及《重庆市三级医疗机构全科医疗安全（不良）事件调查报告》基线数据。</w:t>
      </w:r>
    </w:p>
    <w:p w14:paraId="2EB92C93">
      <w:pPr>
        <w:pStyle w:val="2"/>
        <w:keepNext/>
        <w:keepLines/>
        <w:pageBreakBefore w:val="0"/>
        <w:widowControl/>
        <w:kinsoku/>
        <w:wordWrap/>
        <w:overflowPunct/>
        <w:topLinePunct w:val="0"/>
        <w:autoSpaceDE/>
        <w:autoSpaceDN/>
        <w:bidi w:val="0"/>
        <w:adjustRightInd w:val="0"/>
        <w:snapToGrid w:val="0"/>
        <w:spacing w:line="240" w:lineRule="auto"/>
        <w:ind w:firstLine="0" w:firstLineChars="0"/>
        <w:textAlignment w:val="auto"/>
        <w:rPr>
          <w:rFonts w:ascii="Arial" w:hAnsi="Arial" w:eastAsia="等线" w:cs="Arial"/>
          <w:sz w:val="21"/>
          <w:szCs w:val="21"/>
        </w:rPr>
      </w:pPr>
      <w:r>
        <w:rPr>
          <w:rFonts w:ascii="Arial" w:hAnsi="Arial" w:eastAsia="等线" w:cs="Arial"/>
          <w:sz w:val="21"/>
          <w:szCs w:val="21"/>
        </w:rPr>
        <w:t>2.资料提供：各机构需提供管理制度文件、上报台账（系统截图或复印件）、自查报告、培训签到表及课件、整改方案与验证材料，优先查阅电子化资料，避免耗时收集涉密文件。</w:t>
      </w:r>
    </w:p>
    <w:p w14:paraId="676DAD06">
      <w:pPr>
        <w:pStyle w:val="2"/>
        <w:keepNext/>
        <w:keepLines/>
        <w:pageBreakBefore w:val="0"/>
        <w:widowControl/>
        <w:kinsoku/>
        <w:wordWrap/>
        <w:overflowPunct/>
        <w:topLinePunct w:val="0"/>
        <w:autoSpaceDE/>
        <w:autoSpaceDN/>
        <w:bidi w:val="0"/>
        <w:adjustRightInd w:val="0"/>
        <w:snapToGrid w:val="0"/>
        <w:spacing w:line="240" w:lineRule="auto"/>
        <w:ind w:firstLine="0" w:firstLineChars="0"/>
        <w:textAlignment w:val="auto"/>
        <w:rPr>
          <w:rFonts w:ascii="Arial" w:hAnsi="Arial" w:eastAsia="等线" w:cs="Arial"/>
          <w:sz w:val="21"/>
          <w:szCs w:val="21"/>
        </w:rPr>
      </w:pPr>
      <w:r>
        <w:rPr>
          <w:rFonts w:hint="eastAsia" w:ascii="Arial" w:hAnsi="Arial" w:eastAsia="等线" w:cs="Arial"/>
          <w:sz w:val="21"/>
          <w:szCs w:val="21"/>
        </w:rPr>
        <w:t>3.</w:t>
      </w:r>
      <w:r>
        <w:rPr>
          <w:rFonts w:ascii="Arial" w:hAnsi="Arial" w:eastAsia="等线" w:cs="Arial"/>
          <w:sz w:val="21"/>
          <w:szCs w:val="21"/>
        </w:rPr>
        <w:t>扣分规则：三级指标中，无相关记录或未开展则该项不得分，扣分累计不超过该三级指标总分；涉及 “数量”“比例” 的评分项，需以可追溯的书面或系统数据为依据。</w:t>
      </w:r>
    </w:p>
    <w:p w14:paraId="6C65EDD1"/>
    <w:p w14:paraId="04A46754">
      <w:pPr>
        <w:spacing w:line="360" w:lineRule="auto"/>
        <w:jc w:val="center"/>
        <w:rPr>
          <w:rFonts w:hint="eastAsia" w:ascii="微软雅黑" w:hAnsi="微软雅黑" w:eastAsia="微软雅黑" w:cs="微软雅黑"/>
          <w:b/>
          <w:bCs/>
          <w:sz w:val="28"/>
          <w:szCs w:val="36"/>
        </w:rPr>
        <w:sectPr>
          <w:footerReference r:id="rId3" w:type="default"/>
          <w:footerReference r:id="rId4" w:type="even"/>
          <w:pgSz w:w="16838" w:h="11906" w:orient="landscape"/>
          <w:pgMar w:top="1587" w:right="2098" w:bottom="1474" w:left="1984" w:header="851" w:footer="1417" w:gutter="0"/>
          <w:pgNumType w:start="1"/>
          <w:cols w:space="720" w:num="1"/>
          <w:docGrid w:type="linesAndChars" w:linePitch="579" w:charSpace="15"/>
        </w:sectPr>
      </w:pPr>
    </w:p>
    <w:p w14:paraId="251C82A5">
      <w:pPr>
        <w:rPr>
          <w:rFonts w:hint="eastAsia" w:ascii="黑体" w:hAnsi="黑体" w:eastAsia="黑体" w:cs="黑体"/>
          <w:sz w:val="32"/>
          <w:szCs w:val="36"/>
          <w:lang w:eastAsia="zh-CN"/>
        </w:rPr>
      </w:pPr>
      <w:r>
        <w:rPr>
          <w:rFonts w:hint="eastAsia" w:ascii="黑体" w:hAnsi="黑体" w:eastAsia="黑体" w:cs="黑体"/>
          <w:sz w:val="32"/>
          <w:szCs w:val="36"/>
        </w:rPr>
        <w:t>附件</w:t>
      </w:r>
      <w:r>
        <w:rPr>
          <w:rFonts w:hint="eastAsia" w:ascii="黑体" w:hAnsi="黑体" w:eastAsia="黑体" w:cs="黑体"/>
          <w:sz w:val="32"/>
          <w:szCs w:val="36"/>
          <w:lang w:val="en-US" w:eastAsia="zh-CN"/>
        </w:rPr>
        <w:t>2</w:t>
      </w:r>
    </w:p>
    <w:p w14:paraId="13F8C2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重庆市三级医疗机构（西医综合类）全科医疗质量管理区域划分</w:t>
      </w:r>
    </w:p>
    <w:p w14:paraId="3A187C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8"/>
          <w:lang w:val="en-US" w:eastAsia="zh-CN"/>
        </w:rPr>
      </w:pPr>
      <w:r>
        <w:rPr>
          <w:rFonts w:hint="eastAsia" w:ascii="方正小标宋简体" w:hAnsi="方正小标宋简体" w:eastAsia="方正小标宋简体" w:cs="方正小标宋简体"/>
          <w:sz w:val="44"/>
          <w:szCs w:val="48"/>
          <w:lang w:val="en-US" w:eastAsia="zh-CN"/>
        </w:rPr>
        <w:t xml:space="preserve"> </w:t>
      </w:r>
    </w:p>
    <w:tbl>
      <w:tblPr>
        <w:tblStyle w:val="6"/>
        <w:tblW w:w="12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343"/>
        <w:gridCol w:w="1776"/>
        <w:gridCol w:w="1524"/>
        <w:gridCol w:w="1993"/>
        <w:gridCol w:w="4593"/>
        <w:gridCol w:w="1524"/>
      </w:tblGrid>
      <w:tr w14:paraId="7531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343" w:type="dxa"/>
            <w:noWrap w:val="0"/>
            <w:tcMar>
              <w:left w:w="108" w:type="dxa"/>
              <w:right w:w="108" w:type="dxa"/>
            </w:tcMar>
            <w:vAlign w:val="center"/>
          </w:tcPr>
          <w:p w14:paraId="0217678A">
            <w:pPr>
              <w:snapToGrid w:val="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区域</w:t>
            </w:r>
          </w:p>
        </w:tc>
        <w:tc>
          <w:tcPr>
            <w:tcW w:w="1776" w:type="dxa"/>
            <w:noWrap w:val="0"/>
            <w:tcMar>
              <w:left w:w="108" w:type="dxa"/>
              <w:right w:w="108" w:type="dxa"/>
            </w:tcMar>
            <w:vAlign w:val="center"/>
          </w:tcPr>
          <w:p w14:paraId="1A0AC834">
            <w:pPr>
              <w:snapToGrid w:val="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中心名称</w:t>
            </w:r>
          </w:p>
        </w:tc>
        <w:tc>
          <w:tcPr>
            <w:tcW w:w="1524" w:type="dxa"/>
            <w:noWrap w:val="0"/>
            <w:tcMar>
              <w:left w:w="108" w:type="dxa"/>
              <w:right w:w="108" w:type="dxa"/>
            </w:tcMar>
            <w:vAlign w:val="center"/>
          </w:tcPr>
          <w:p w14:paraId="68365C91">
            <w:pPr>
              <w:snapToGrid w:val="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区域负责人</w:t>
            </w:r>
          </w:p>
        </w:tc>
        <w:tc>
          <w:tcPr>
            <w:tcW w:w="1993" w:type="dxa"/>
            <w:noWrap w:val="0"/>
            <w:tcMar>
              <w:left w:w="108" w:type="dxa"/>
              <w:right w:w="108" w:type="dxa"/>
            </w:tcMar>
            <w:vAlign w:val="center"/>
          </w:tcPr>
          <w:p w14:paraId="053D752E">
            <w:pPr>
              <w:snapToGrid w:val="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督查小组组长</w:t>
            </w:r>
          </w:p>
        </w:tc>
        <w:tc>
          <w:tcPr>
            <w:tcW w:w="4593" w:type="dxa"/>
            <w:noWrap w:val="0"/>
            <w:tcMar>
              <w:left w:w="108" w:type="dxa"/>
              <w:right w:w="108" w:type="dxa"/>
            </w:tcMar>
            <w:vAlign w:val="center"/>
          </w:tcPr>
          <w:p w14:paraId="75618308">
            <w:pPr>
              <w:snapToGrid w:val="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单位名称</w:t>
            </w:r>
          </w:p>
        </w:tc>
        <w:tc>
          <w:tcPr>
            <w:tcW w:w="1524" w:type="dxa"/>
            <w:noWrap w:val="0"/>
            <w:tcMar>
              <w:left w:w="108" w:type="dxa"/>
              <w:right w:w="108" w:type="dxa"/>
            </w:tcMar>
            <w:vAlign w:val="center"/>
          </w:tcPr>
          <w:p w14:paraId="5A19AC5D">
            <w:pPr>
              <w:snapToGrid w:val="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科室负责人</w:t>
            </w:r>
          </w:p>
        </w:tc>
      </w:tr>
      <w:tr w14:paraId="3D26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restart"/>
            <w:noWrap w:val="0"/>
            <w:tcMar>
              <w:left w:w="108" w:type="dxa"/>
              <w:right w:w="108" w:type="dxa"/>
            </w:tcMar>
            <w:vAlign w:val="center"/>
          </w:tcPr>
          <w:p w14:paraId="6EA56D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主城区</w:t>
            </w:r>
          </w:p>
        </w:tc>
        <w:tc>
          <w:tcPr>
            <w:tcW w:w="1776" w:type="dxa"/>
            <w:vMerge w:val="restart"/>
            <w:noWrap w:val="0"/>
            <w:tcMar>
              <w:left w:w="108" w:type="dxa"/>
              <w:right w:w="108" w:type="dxa"/>
            </w:tcMar>
            <w:vAlign w:val="center"/>
          </w:tcPr>
          <w:p w14:paraId="792EF1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市全科质控中心</w:t>
            </w:r>
          </w:p>
        </w:tc>
        <w:tc>
          <w:tcPr>
            <w:tcW w:w="1524" w:type="dxa"/>
            <w:vMerge w:val="restart"/>
            <w:noWrap w:val="0"/>
            <w:tcMar>
              <w:left w:w="108" w:type="dxa"/>
              <w:right w:w="108" w:type="dxa"/>
            </w:tcMar>
            <w:vAlign w:val="center"/>
          </w:tcPr>
          <w:p w14:paraId="2F36FC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冯桂波</w:t>
            </w:r>
          </w:p>
        </w:tc>
        <w:tc>
          <w:tcPr>
            <w:tcW w:w="1993" w:type="dxa"/>
            <w:vMerge w:val="restart"/>
            <w:noWrap w:val="0"/>
            <w:tcMar>
              <w:left w:w="108" w:type="dxa"/>
              <w:right w:w="108" w:type="dxa"/>
            </w:tcMar>
            <w:vAlign w:val="center"/>
          </w:tcPr>
          <w:p w14:paraId="25ECC09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邓辉胜</w:t>
            </w:r>
          </w:p>
        </w:tc>
        <w:tc>
          <w:tcPr>
            <w:tcW w:w="4593" w:type="dxa"/>
            <w:noWrap w:val="0"/>
            <w:tcMar>
              <w:left w:w="108" w:type="dxa"/>
              <w:right w:w="108" w:type="dxa"/>
            </w:tcMar>
            <w:vAlign w:val="center"/>
          </w:tcPr>
          <w:p w14:paraId="66C1D6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陆军军医大学第一附属医院</w:t>
            </w:r>
          </w:p>
        </w:tc>
        <w:tc>
          <w:tcPr>
            <w:tcW w:w="1524" w:type="dxa"/>
            <w:noWrap w:val="0"/>
            <w:tcMar>
              <w:left w:w="108" w:type="dxa"/>
              <w:right w:w="108" w:type="dxa"/>
            </w:tcMar>
            <w:vAlign w:val="center"/>
          </w:tcPr>
          <w:p w14:paraId="168EDC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张倩</w:t>
            </w:r>
          </w:p>
        </w:tc>
      </w:tr>
      <w:tr w14:paraId="47EC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2E6ACC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3B3B36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404106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131555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148250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陆军军医大学第二附属医院</w:t>
            </w:r>
          </w:p>
        </w:tc>
        <w:tc>
          <w:tcPr>
            <w:tcW w:w="1524" w:type="dxa"/>
            <w:noWrap w:val="0"/>
            <w:tcMar>
              <w:left w:w="108" w:type="dxa"/>
              <w:right w:w="108" w:type="dxa"/>
            </w:tcMar>
            <w:vAlign w:val="center"/>
          </w:tcPr>
          <w:p w14:paraId="3A72AB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尤再春</w:t>
            </w:r>
          </w:p>
        </w:tc>
      </w:tr>
      <w:tr w14:paraId="6480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5EADF7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49027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FE1F5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54AFF4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柯大智</w:t>
            </w:r>
          </w:p>
        </w:tc>
        <w:tc>
          <w:tcPr>
            <w:tcW w:w="4593" w:type="dxa"/>
            <w:noWrap w:val="0"/>
            <w:tcMar>
              <w:left w:w="108" w:type="dxa"/>
              <w:right w:w="108" w:type="dxa"/>
            </w:tcMar>
            <w:vAlign w:val="center"/>
          </w:tcPr>
          <w:p w14:paraId="3347E2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重庆市第五人民医院</w:t>
            </w:r>
          </w:p>
        </w:tc>
        <w:tc>
          <w:tcPr>
            <w:tcW w:w="1524" w:type="dxa"/>
            <w:noWrap w:val="0"/>
            <w:tcMar>
              <w:left w:w="108" w:type="dxa"/>
              <w:right w:w="108" w:type="dxa"/>
            </w:tcMar>
            <w:vAlign w:val="center"/>
          </w:tcPr>
          <w:p w14:paraId="250CF1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姚武位</w:t>
            </w:r>
          </w:p>
        </w:tc>
      </w:tr>
      <w:tr w14:paraId="071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4B01C2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2AEE9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07CF6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501EC6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75DDCC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重庆医药高等专科学校附属第一医院</w:t>
            </w:r>
          </w:p>
        </w:tc>
        <w:tc>
          <w:tcPr>
            <w:tcW w:w="1524" w:type="dxa"/>
            <w:noWrap w:val="0"/>
            <w:tcMar>
              <w:left w:w="108" w:type="dxa"/>
              <w:right w:w="108" w:type="dxa"/>
            </w:tcMar>
            <w:vAlign w:val="center"/>
          </w:tcPr>
          <w:p w14:paraId="6A3F59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黄永洪</w:t>
            </w:r>
          </w:p>
        </w:tc>
      </w:tr>
      <w:tr w14:paraId="6F0F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9340E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A3194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44CCB2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66AC7F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张倩</w:t>
            </w:r>
          </w:p>
        </w:tc>
        <w:tc>
          <w:tcPr>
            <w:tcW w:w="4593" w:type="dxa"/>
            <w:noWrap w:val="0"/>
            <w:tcMar>
              <w:left w:w="108" w:type="dxa"/>
              <w:right w:w="108" w:type="dxa"/>
            </w:tcMar>
            <w:vAlign w:val="center"/>
          </w:tcPr>
          <w:p w14:paraId="5AEBBA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重庆大学附属沙坪坝医院</w:t>
            </w:r>
          </w:p>
        </w:tc>
        <w:tc>
          <w:tcPr>
            <w:tcW w:w="1524" w:type="dxa"/>
            <w:noWrap w:val="0"/>
            <w:tcMar>
              <w:left w:w="108" w:type="dxa"/>
              <w:right w:w="108" w:type="dxa"/>
            </w:tcMar>
            <w:vAlign w:val="center"/>
          </w:tcPr>
          <w:p w14:paraId="702330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邹晓霞</w:t>
            </w:r>
          </w:p>
        </w:tc>
      </w:tr>
      <w:tr w14:paraId="1979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070FD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D513B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76AF45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1CA4FC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1EE3B3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重钢总医院</w:t>
            </w:r>
          </w:p>
        </w:tc>
        <w:tc>
          <w:tcPr>
            <w:tcW w:w="1524" w:type="dxa"/>
            <w:noWrap w:val="0"/>
            <w:tcMar>
              <w:left w:w="108" w:type="dxa"/>
              <w:right w:w="108" w:type="dxa"/>
            </w:tcMar>
            <w:vAlign w:val="center"/>
          </w:tcPr>
          <w:p w14:paraId="1A5F9D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何利平</w:t>
            </w:r>
          </w:p>
        </w:tc>
      </w:tr>
      <w:tr w14:paraId="3302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72059C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12138D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6F1BDB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07A286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尤再春</w:t>
            </w:r>
          </w:p>
        </w:tc>
        <w:tc>
          <w:tcPr>
            <w:tcW w:w="4593" w:type="dxa"/>
            <w:noWrap w:val="0"/>
            <w:tcMar>
              <w:left w:w="108" w:type="dxa"/>
              <w:right w:w="108" w:type="dxa"/>
            </w:tcMar>
            <w:vAlign w:val="center"/>
          </w:tcPr>
          <w:p w14:paraId="5CF4B1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重庆医科大学附属第一医院</w:t>
            </w:r>
          </w:p>
        </w:tc>
        <w:tc>
          <w:tcPr>
            <w:tcW w:w="1524" w:type="dxa"/>
            <w:noWrap w:val="0"/>
            <w:tcMar>
              <w:left w:w="108" w:type="dxa"/>
              <w:right w:w="108" w:type="dxa"/>
            </w:tcMar>
            <w:vAlign w:val="center"/>
          </w:tcPr>
          <w:p w14:paraId="4A2041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邓辉胜</w:t>
            </w:r>
          </w:p>
        </w:tc>
      </w:tr>
      <w:tr w14:paraId="1D14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7815EA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6EDCBE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57ADBF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5423FA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5CE961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重庆市急救医疗中心</w:t>
            </w:r>
          </w:p>
        </w:tc>
        <w:tc>
          <w:tcPr>
            <w:tcW w:w="1524" w:type="dxa"/>
            <w:noWrap w:val="0"/>
            <w:tcMar>
              <w:left w:w="108" w:type="dxa"/>
              <w:right w:w="108" w:type="dxa"/>
            </w:tcMar>
            <w:vAlign w:val="center"/>
          </w:tcPr>
          <w:p w14:paraId="485614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蒋宜</w:t>
            </w:r>
          </w:p>
        </w:tc>
      </w:tr>
      <w:tr w14:paraId="7F44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749AD5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0F3C97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D954DF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0FA5E8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冯桂波</w:t>
            </w:r>
          </w:p>
        </w:tc>
        <w:tc>
          <w:tcPr>
            <w:tcW w:w="4593" w:type="dxa"/>
            <w:noWrap w:val="0"/>
            <w:tcMar>
              <w:left w:w="108" w:type="dxa"/>
              <w:right w:w="108" w:type="dxa"/>
            </w:tcMar>
            <w:vAlign w:val="center"/>
          </w:tcPr>
          <w:p w14:paraId="6E944D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重庆市第九人民医院</w:t>
            </w:r>
          </w:p>
        </w:tc>
        <w:tc>
          <w:tcPr>
            <w:tcW w:w="1524" w:type="dxa"/>
            <w:noWrap w:val="0"/>
            <w:tcMar>
              <w:left w:w="108" w:type="dxa"/>
              <w:right w:w="108" w:type="dxa"/>
            </w:tcMar>
            <w:vAlign w:val="center"/>
          </w:tcPr>
          <w:p w14:paraId="37FCEE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何茂锐</w:t>
            </w:r>
          </w:p>
        </w:tc>
      </w:tr>
      <w:tr w14:paraId="00B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1F2A80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5F3A2A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BF516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7C00EB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3CBE72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重庆医科大学附属巴南医院</w:t>
            </w:r>
          </w:p>
        </w:tc>
        <w:tc>
          <w:tcPr>
            <w:tcW w:w="1524" w:type="dxa"/>
            <w:noWrap w:val="0"/>
            <w:tcMar>
              <w:left w:w="108" w:type="dxa"/>
              <w:right w:w="108" w:type="dxa"/>
            </w:tcMar>
            <w:vAlign w:val="center"/>
          </w:tcPr>
          <w:p w14:paraId="202F93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首云锋</w:t>
            </w:r>
          </w:p>
        </w:tc>
      </w:tr>
      <w:tr w14:paraId="5098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6C4200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97C59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4D174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300FA8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蒋宜</w:t>
            </w:r>
          </w:p>
        </w:tc>
        <w:tc>
          <w:tcPr>
            <w:tcW w:w="4593" w:type="dxa"/>
            <w:noWrap w:val="0"/>
            <w:tcMar>
              <w:left w:w="108" w:type="dxa"/>
              <w:right w:w="108" w:type="dxa"/>
            </w:tcMar>
            <w:vAlign w:val="center"/>
          </w:tcPr>
          <w:p w14:paraId="0BF9368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重庆医科大学附属第二医院</w:t>
            </w:r>
          </w:p>
        </w:tc>
        <w:tc>
          <w:tcPr>
            <w:tcW w:w="1524" w:type="dxa"/>
            <w:noWrap w:val="0"/>
            <w:tcMar>
              <w:left w:w="108" w:type="dxa"/>
              <w:right w:w="108" w:type="dxa"/>
            </w:tcMar>
            <w:vAlign w:val="center"/>
          </w:tcPr>
          <w:p w14:paraId="43DE4E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柯大智</w:t>
            </w:r>
          </w:p>
        </w:tc>
      </w:tr>
      <w:tr w14:paraId="71EB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BB78F0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6E1EDB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72E6A2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7FFB64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01BAB7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陆军特色医学中心</w:t>
            </w:r>
          </w:p>
        </w:tc>
        <w:tc>
          <w:tcPr>
            <w:tcW w:w="1524" w:type="dxa"/>
            <w:noWrap w:val="0"/>
            <w:tcMar>
              <w:left w:w="108" w:type="dxa"/>
              <w:right w:w="108" w:type="dxa"/>
            </w:tcMar>
            <w:vAlign w:val="center"/>
          </w:tcPr>
          <w:p w14:paraId="00177A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刘娟</w:t>
            </w:r>
          </w:p>
        </w:tc>
      </w:tr>
      <w:tr w14:paraId="3607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5F9788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9410F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34EA017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09FAB7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周志益</w:t>
            </w:r>
          </w:p>
        </w:tc>
        <w:tc>
          <w:tcPr>
            <w:tcW w:w="4593" w:type="dxa"/>
            <w:noWrap w:val="0"/>
            <w:tcMar>
              <w:left w:w="108" w:type="dxa"/>
              <w:right w:w="108" w:type="dxa"/>
            </w:tcMar>
            <w:vAlign w:val="center"/>
          </w:tcPr>
          <w:p w14:paraId="4F68E9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重庆医科大学附属第三医院</w:t>
            </w:r>
          </w:p>
        </w:tc>
        <w:tc>
          <w:tcPr>
            <w:tcW w:w="1524" w:type="dxa"/>
            <w:noWrap w:val="0"/>
            <w:tcMar>
              <w:left w:w="108" w:type="dxa"/>
              <w:right w:w="108" w:type="dxa"/>
            </w:tcMar>
            <w:vAlign w:val="center"/>
          </w:tcPr>
          <w:p w14:paraId="688721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程媛媛</w:t>
            </w:r>
          </w:p>
        </w:tc>
      </w:tr>
      <w:tr w14:paraId="2EBF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612E2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0020E7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2FF36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3A62C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6790F1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重庆市红十字会医院（江北区人民医院）</w:t>
            </w:r>
          </w:p>
        </w:tc>
        <w:tc>
          <w:tcPr>
            <w:tcW w:w="1524" w:type="dxa"/>
            <w:noWrap w:val="0"/>
            <w:tcMar>
              <w:left w:w="108" w:type="dxa"/>
              <w:right w:w="108" w:type="dxa"/>
            </w:tcMar>
            <w:vAlign w:val="center"/>
          </w:tcPr>
          <w:p w14:paraId="3ADED9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屈春梅</w:t>
            </w:r>
          </w:p>
        </w:tc>
      </w:tr>
      <w:tr w14:paraId="3F1D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2EECA9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F2071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311F95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580369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39D343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重庆松山医院</w:t>
            </w:r>
          </w:p>
        </w:tc>
        <w:tc>
          <w:tcPr>
            <w:tcW w:w="1524" w:type="dxa"/>
            <w:noWrap w:val="0"/>
            <w:tcMar>
              <w:left w:w="108" w:type="dxa"/>
              <w:right w:w="108" w:type="dxa"/>
            </w:tcMar>
            <w:vAlign w:val="center"/>
          </w:tcPr>
          <w:p w14:paraId="5E9904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佘国灵</w:t>
            </w:r>
          </w:p>
        </w:tc>
      </w:tr>
      <w:tr w14:paraId="7207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2696CA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AB237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387ABD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0E36D0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邹晓霞</w:t>
            </w:r>
          </w:p>
        </w:tc>
        <w:tc>
          <w:tcPr>
            <w:tcW w:w="4593" w:type="dxa"/>
            <w:noWrap w:val="0"/>
            <w:tcMar>
              <w:left w:w="108" w:type="dxa"/>
              <w:right w:w="108" w:type="dxa"/>
            </w:tcMar>
            <w:vAlign w:val="center"/>
          </w:tcPr>
          <w:p w14:paraId="2CC519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重庆市第十三人民医院</w:t>
            </w:r>
          </w:p>
        </w:tc>
        <w:tc>
          <w:tcPr>
            <w:tcW w:w="1524" w:type="dxa"/>
            <w:noWrap w:val="0"/>
            <w:tcMar>
              <w:left w:w="108" w:type="dxa"/>
              <w:right w:w="108" w:type="dxa"/>
            </w:tcMar>
            <w:vAlign w:val="center"/>
          </w:tcPr>
          <w:p w14:paraId="001A14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杨国文</w:t>
            </w:r>
          </w:p>
        </w:tc>
      </w:tr>
      <w:tr w14:paraId="63ED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D9824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9F96C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9DC6C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C4F6F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476CCA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重庆市九龙坡区人民医院</w:t>
            </w:r>
          </w:p>
        </w:tc>
        <w:tc>
          <w:tcPr>
            <w:tcW w:w="1524" w:type="dxa"/>
            <w:noWrap w:val="0"/>
            <w:tcMar>
              <w:left w:w="108" w:type="dxa"/>
              <w:right w:w="108" w:type="dxa"/>
            </w:tcMar>
            <w:vAlign w:val="center"/>
          </w:tcPr>
          <w:p w14:paraId="52EFB4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肖静</w:t>
            </w:r>
          </w:p>
        </w:tc>
      </w:tr>
      <w:tr w14:paraId="7EA0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2967E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DC19BB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178CB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7B425E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何茂锐</w:t>
            </w:r>
          </w:p>
        </w:tc>
        <w:tc>
          <w:tcPr>
            <w:tcW w:w="4593" w:type="dxa"/>
            <w:noWrap w:val="0"/>
            <w:tcMar>
              <w:left w:w="108" w:type="dxa"/>
              <w:right w:w="108" w:type="dxa"/>
            </w:tcMar>
            <w:vAlign w:val="center"/>
          </w:tcPr>
          <w:p w14:paraId="0D8D41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重庆医科大学附属大学城医院</w:t>
            </w:r>
          </w:p>
        </w:tc>
        <w:tc>
          <w:tcPr>
            <w:tcW w:w="1524" w:type="dxa"/>
            <w:noWrap w:val="0"/>
            <w:tcMar>
              <w:left w:w="108" w:type="dxa"/>
              <w:right w:w="108" w:type="dxa"/>
            </w:tcMar>
            <w:vAlign w:val="center"/>
          </w:tcPr>
          <w:p w14:paraId="1D12E4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周训美</w:t>
            </w:r>
          </w:p>
        </w:tc>
      </w:tr>
      <w:tr w14:paraId="74B2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14DF04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2805A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54FC4C5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6350D5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3B7B89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重庆海吉亚医院</w:t>
            </w:r>
          </w:p>
        </w:tc>
        <w:tc>
          <w:tcPr>
            <w:tcW w:w="1524" w:type="dxa"/>
            <w:noWrap w:val="0"/>
            <w:tcMar>
              <w:left w:w="108" w:type="dxa"/>
              <w:right w:w="108" w:type="dxa"/>
            </w:tcMar>
            <w:vAlign w:val="center"/>
          </w:tcPr>
          <w:p w14:paraId="2CABAF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但三利</w:t>
            </w:r>
          </w:p>
        </w:tc>
      </w:tr>
      <w:tr w14:paraId="442F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52BC9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64FBA2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02A984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5DED65E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程媛媛</w:t>
            </w:r>
          </w:p>
        </w:tc>
        <w:tc>
          <w:tcPr>
            <w:tcW w:w="4593" w:type="dxa"/>
            <w:noWrap w:val="0"/>
            <w:tcMar>
              <w:left w:w="108" w:type="dxa"/>
              <w:right w:w="108" w:type="dxa"/>
            </w:tcMar>
            <w:vAlign w:val="center"/>
          </w:tcPr>
          <w:p w14:paraId="51A13D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重庆市人民医院</w:t>
            </w:r>
          </w:p>
        </w:tc>
        <w:tc>
          <w:tcPr>
            <w:tcW w:w="1524" w:type="dxa"/>
            <w:noWrap w:val="0"/>
            <w:tcMar>
              <w:left w:w="108" w:type="dxa"/>
              <w:right w:w="108" w:type="dxa"/>
            </w:tcMar>
            <w:vAlign w:val="center"/>
          </w:tcPr>
          <w:p w14:paraId="6E1354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周志益</w:t>
            </w:r>
          </w:p>
        </w:tc>
      </w:tr>
      <w:tr w14:paraId="1DF7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442B0F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2163D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014F8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4A0B9AA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662173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重庆市渝北区人民医院</w:t>
            </w:r>
          </w:p>
        </w:tc>
        <w:tc>
          <w:tcPr>
            <w:tcW w:w="1524" w:type="dxa"/>
            <w:noWrap w:val="0"/>
            <w:tcMar>
              <w:left w:w="108" w:type="dxa"/>
              <w:right w:w="108" w:type="dxa"/>
            </w:tcMar>
            <w:vAlign w:val="center"/>
          </w:tcPr>
          <w:p w14:paraId="0CA356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廖礼强</w:t>
            </w:r>
          </w:p>
        </w:tc>
      </w:tr>
      <w:tr w14:paraId="53EA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restart"/>
            <w:noWrap w:val="0"/>
            <w:tcMar>
              <w:left w:w="108" w:type="dxa"/>
              <w:right w:w="108" w:type="dxa"/>
            </w:tcMar>
            <w:vAlign w:val="center"/>
          </w:tcPr>
          <w:p w14:paraId="62F6BE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渝西片区</w:t>
            </w:r>
          </w:p>
        </w:tc>
        <w:tc>
          <w:tcPr>
            <w:tcW w:w="1776" w:type="dxa"/>
            <w:vMerge w:val="restart"/>
            <w:noWrap w:val="0"/>
            <w:tcMar>
              <w:left w:w="108" w:type="dxa"/>
              <w:right w:w="108" w:type="dxa"/>
            </w:tcMar>
            <w:vAlign w:val="center"/>
          </w:tcPr>
          <w:p w14:paraId="5A33D4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市全科质控中心</w:t>
            </w:r>
          </w:p>
        </w:tc>
        <w:tc>
          <w:tcPr>
            <w:tcW w:w="1524" w:type="dxa"/>
            <w:vMerge w:val="restart"/>
            <w:noWrap w:val="0"/>
            <w:tcMar>
              <w:left w:w="108" w:type="dxa"/>
              <w:right w:w="108" w:type="dxa"/>
            </w:tcMar>
            <w:vAlign w:val="center"/>
          </w:tcPr>
          <w:p w14:paraId="1F7B7C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向君</w:t>
            </w:r>
          </w:p>
        </w:tc>
        <w:tc>
          <w:tcPr>
            <w:tcW w:w="1993" w:type="dxa"/>
            <w:vMerge w:val="restart"/>
            <w:noWrap w:val="0"/>
            <w:tcMar>
              <w:left w:w="108" w:type="dxa"/>
              <w:right w:w="108" w:type="dxa"/>
            </w:tcMar>
            <w:vAlign w:val="center"/>
          </w:tcPr>
          <w:p w14:paraId="526828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董一山</w:t>
            </w:r>
          </w:p>
        </w:tc>
        <w:tc>
          <w:tcPr>
            <w:tcW w:w="4593" w:type="dxa"/>
            <w:noWrap w:val="0"/>
            <w:tcMar>
              <w:left w:w="108" w:type="dxa"/>
              <w:right w:w="108" w:type="dxa"/>
            </w:tcMar>
            <w:vAlign w:val="center"/>
          </w:tcPr>
          <w:p w14:paraId="69311A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重庆医科大学附属永川医院</w:t>
            </w:r>
          </w:p>
        </w:tc>
        <w:tc>
          <w:tcPr>
            <w:tcW w:w="1524" w:type="dxa"/>
            <w:noWrap w:val="0"/>
            <w:tcMar>
              <w:left w:w="108" w:type="dxa"/>
              <w:right w:w="108" w:type="dxa"/>
            </w:tcMar>
            <w:vAlign w:val="center"/>
          </w:tcPr>
          <w:p w14:paraId="38EF41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冯桂波</w:t>
            </w:r>
          </w:p>
        </w:tc>
      </w:tr>
      <w:tr w14:paraId="56AD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EA6E6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10DB5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79F11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217B7F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7C325F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lang w:val="en-US" w:eastAsia="zh-CN"/>
              </w:rPr>
              <w:t>重庆市</w:t>
            </w:r>
            <w:r>
              <w:rPr>
                <w:rFonts w:hint="eastAsia" w:ascii="仿宋" w:hAnsi="仿宋" w:eastAsia="仿宋" w:cs="仿宋"/>
                <w:b w:val="0"/>
                <w:bCs/>
                <w:sz w:val="18"/>
                <w:szCs w:val="18"/>
              </w:rPr>
              <w:t>永川区人民医院</w:t>
            </w:r>
          </w:p>
        </w:tc>
        <w:tc>
          <w:tcPr>
            <w:tcW w:w="1524" w:type="dxa"/>
            <w:noWrap w:val="0"/>
            <w:tcMar>
              <w:left w:w="108" w:type="dxa"/>
              <w:right w:w="108" w:type="dxa"/>
            </w:tcMar>
            <w:vAlign w:val="center"/>
          </w:tcPr>
          <w:p w14:paraId="3134EEB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龙碧</w:t>
            </w:r>
          </w:p>
        </w:tc>
      </w:tr>
      <w:tr w14:paraId="16C5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F6D92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173CAE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30D859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1822BE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朱秀兰</w:t>
            </w:r>
          </w:p>
        </w:tc>
        <w:tc>
          <w:tcPr>
            <w:tcW w:w="4593" w:type="dxa"/>
            <w:noWrap w:val="0"/>
            <w:tcMar>
              <w:left w:w="108" w:type="dxa"/>
              <w:right w:w="108" w:type="dxa"/>
            </w:tcMar>
            <w:vAlign w:val="center"/>
          </w:tcPr>
          <w:p w14:paraId="56786A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重庆医科大学附属大足医院</w:t>
            </w:r>
          </w:p>
        </w:tc>
        <w:tc>
          <w:tcPr>
            <w:tcW w:w="1524" w:type="dxa"/>
            <w:noWrap w:val="0"/>
            <w:tcMar>
              <w:left w:w="108" w:type="dxa"/>
              <w:right w:w="108" w:type="dxa"/>
            </w:tcMar>
            <w:vAlign w:val="center"/>
          </w:tcPr>
          <w:p w14:paraId="6DBCFCA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康小兰</w:t>
            </w:r>
          </w:p>
        </w:tc>
      </w:tr>
      <w:tr w14:paraId="4015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2F79C4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7D244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3D14B5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6818C2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030406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重庆大学附属江津医院</w:t>
            </w:r>
          </w:p>
        </w:tc>
        <w:tc>
          <w:tcPr>
            <w:tcW w:w="1524" w:type="dxa"/>
            <w:noWrap w:val="0"/>
            <w:tcMar>
              <w:left w:w="108" w:type="dxa"/>
              <w:right w:w="108" w:type="dxa"/>
            </w:tcMar>
            <w:vAlign w:val="center"/>
          </w:tcPr>
          <w:p w14:paraId="00E0A6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董一山</w:t>
            </w:r>
          </w:p>
        </w:tc>
      </w:tr>
      <w:tr w14:paraId="32D5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7E01CFF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B9587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740148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718AB8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康小兰</w:t>
            </w:r>
          </w:p>
        </w:tc>
        <w:tc>
          <w:tcPr>
            <w:tcW w:w="4593" w:type="dxa"/>
            <w:noWrap w:val="0"/>
            <w:tcMar>
              <w:left w:w="108" w:type="dxa"/>
              <w:right w:w="108" w:type="dxa"/>
            </w:tcMar>
            <w:vAlign w:val="center"/>
          </w:tcPr>
          <w:p w14:paraId="746FC5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重庆市璧山区人民医院</w:t>
            </w:r>
          </w:p>
        </w:tc>
        <w:tc>
          <w:tcPr>
            <w:tcW w:w="1524" w:type="dxa"/>
            <w:noWrap w:val="0"/>
            <w:tcMar>
              <w:left w:w="108" w:type="dxa"/>
              <w:right w:w="108" w:type="dxa"/>
            </w:tcMar>
            <w:vAlign w:val="center"/>
          </w:tcPr>
          <w:p w14:paraId="24F92F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朱秀兰</w:t>
            </w:r>
          </w:p>
        </w:tc>
      </w:tr>
      <w:tr w14:paraId="779F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590EFA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1D2D2C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44D278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904DFC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07502D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lang w:val="en-US" w:eastAsia="zh-CN"/>
              </w:rPr>
              <w:t>重庆市</w:t>
            </w:r>
            <w:r>
              <w:rPr>
                <w:rFonts w:hint="eastAsia" w:ascii="仿宋" w:hAnsi="仿宋" w:eastAsia="仿宋" w:cs="仿宋"/>
                <w:b w:val="0"/>
                <w:bCs/>
                <w:sz w:val="18"/>
                <w:szCs w:val="18"/>
              </w:rPr>
              <w:t>荣昌区人民医院</w:t>
            </w:r>
          </w:p>
        </w:tc>
        <w:tc>
          <w:tcPr>
            <w:tcW w:w="1524" w:type="dxa"/>
            <w:noWrap w:val="0"/>
            <w:tcMar>
              <w:left w:w="108" w:type="dxa"/>
              <w:right w:w="108" w:type="dxa"/>
            </w:tcMar>
            <w:vAlign w:val="center"/>
          </w:tcPr>
          <w:p w14:paraId="7A8E84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朱涛</w:t>
            </w:r>
          </w:p>
        </w:tc>
      </w:tr>
      <w:tr w14:paraId="4AE4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8D017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172AC2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5216B1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restart"/>
            <w:noWrap w:val="0"/>
            <w:tcMar>
              <w:left w:w="108" w:type="dxa"/>
              <w:right w:w="108" w:type="dxa"/>
            </w:tcMar>
            <w:vAlign w:val="center"/>
          </w:tcPr>
          <w:p w14:paraId="4919C3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向君</w:t>
            </w:r>
          </w:p>
        </w:tc>
        <w:tc>
          <w:tcPr>
            <w:tcW w:w="4593" w:type="dxa"/>
            <w:noWrap w:val="0"/>
            <w:tcMar>
              <w:left w:w="108" w:type="dxa"/>
              <w:right w:w="108" w:type="dxa"/>
            </w:tcMar>
            <w:vAlign w:val="center"/>
          </w:tcPr>
          <w:p w14:paraId="1A55FF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重庆市铜梁区人民医院</w:t>
            </w:r>
          </w:p>
        </w:tc>
        <w:tc>
          <w:tcPr>
            <w:tcW w:w="1524" w:type="dxa"/>
            <w:noWrap w:val="0"/>
            <w:tcMar>
              <w:left w:w="108" w:type="dxa"/>
              <w:right w:w="108" w:type="dxa"/>
            </w:tcMar>
            <w:vAlign w:val="center"/>
          </w:tcPr>
          <w:p w14:paraId="746B51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张永中</w:t>
            </w:r>
          </w:p>
        </w:tc>
      </w:tr>
      <w:tr w14:paraId="7F96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BD7B4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ECAB4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CC6247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2CB982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7912AA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重庆市合川区人民医院</w:t>
            </w:r>
          </w:p>
        </w:tc>
        <w:tc>
          <w:tcPr>
            <w:tcW w:w="1524" w:type="dxa"/>
            <w:noWrap w:val="0"/>
            <w:tcMar>
              <w:left w:w="108" w:type="dxa"/>
              <w:right w:w="108" w:type="dxa"/>
            </w:tcMar>
            <w:vAlign w:val="center"/>
          </w:tcPr>
          <w:p w14:paraId="331ABF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夏洪利</w:t>
            </w:r>
          </w:p>
        </w:tc>
      </w:tr>
      <w:tr w14:paraId="5BFF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restart"/>
            <w:noWrap w:val="0"/>
            <w:tcMar>
              <w:left w:w="108" w:type="dxa"/>
              <w:right w:w="108" w:type="dxa"/>
            </w:tcMar>
            <w:vAlign w:val="center"/>
          </w:tcPr>
          <w:p w14:paraId="14A0FD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渝东北片区</w:t>
            </w:r>
          </w:p>
        </w:tc>
        <w:tc>
          <w:tcPr>
            <w:tcW w:w="1776" w:type="dxa"/>
            <w:vMerge w:val="restart"/>
            <w:noWrap w:val="0"/>
            <w:tcMar>
              <w:left w:w="108" w:type="dxa"/>
              <w:right w:w="108" w:type="dxa"/>
            </w:tcMar>
            <w:vAlign w:val="center"/>
          </w:tcPr>
          <w:p w14:paraId="75FC68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渝东北分中心</w:t>
            </w:r>
          </w:p>
        </w:tc>
        <w:tc>
          <w:tcPr>
            <w:tcW w:w="1524" w:type="dxa"/>
            <w:vMerge w:val="restart"/>
            <w:noWrap w:val="0"/>
            <w:tcMar>
              <w:left w:w="108" w:type="dxa"/>
              <w:right w:w="108" w:type="dxa"/>
            </w:tcMar>
            <w:vAlign w:val="center"/>
          </w:tcPr>
          <w:p w14:paraId="4BDD0B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姜剩勇</w:t>
            </w:r>
          </w:p>
        </w:tc>
        <w:tc>
          <w:tcPr>
            <w:tcW w:w="1993" w:type="dxa"/>
            <w:vMerge w:val="restart"/>
            <w:noWrap w:val="0"/>
            <w:tcMar>
              <w:left w:w="108" w:type="dxa"/>
              <w:right w:w="108" w:type="dxa"/>
            </w:tcMar>
            <w:vAlign w:val="center"/>
          </w:tcPr>
          <w:p w14:paraId="316D93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（由分中心分配）</w:t>
            </w:r>
          </w:p>
        </w:tc>
        <w:tc>
          <w:tcPr>
            <w:tcW w:w="4593" w:type="dxa"/>
            <w:noWrap w:val="0"/>
            <w:tcMar>
              <w:left w:w="108" w:type="dxa"/>
              <w:right w:w="108" w:type="dxa"/>
            </w:tcMar>
            <w:vAlign w:val="center"/>
          </w:tcPr>
          <w:p w14:paraId="4841C1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重庆大学附属三峡医院</w:t>
            </w:r>
          </w:p>
        </w:tc>
        <w:tc>
          <w:tcPr>
            <w:tcW w:w="1524" w:type="dxa"/>
            <w:noWrap w:val="0"/>
            <w:tcMar>
              <w:left w:w="108" w:type="dxa"/>
              <w:right w:w="108" w:type="dxa"/>
            </w:tcMar>
            <w:vAlign w:val="center"/>
          </w:tcPr>
          <w:p w14:paraId="6E619F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姜剩勇</w:t>
            </w:r>
          </w:p>
        </w:tc>
      </w:tr>
      <w:tr w14:paraId="095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07AE8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6F5621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538C61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2E5583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119E47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重庆市奉节县人民医院</w:t>
            </w:r>
          </w:p>
        </w:tc>
        <w:tc>
          <w:tcPr>
            <w:tcW w:w="1524" w:type="dxa"/>
            <w:noWrap w:val="0"/>
            <w:tcMar>
              <w:left w:w="108" w:type="dxa"/>
              <w:right w:w="108" w:type="dxa"/>
            </w:tcMar>
            <w:vAlign w:val="center"/>
          </w:tcPr>
          <w:p w14:paraId="6186D3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乐经科</w:t>
            </w:r>
          </w:p>
        </w:tc>
      </w:tr>
      <w:tr w14:paraId="60A7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72AF5E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071E2A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DC19C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4E6526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15E77A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重庆市开州区人民医院</w:t>
            </w:r>
          </w:p>
        </w:tc>
        <w:tc>
          <w:tcPr>
            <w:tcW w:w="1524" w:type="dxa"/>
            <w:noWrap w:val="0"/>
            <w:tcMar>
              <w:left w:w="108" w:type="dxa"/>
              <w:right w:w="108" w:type="dxa"/>
            </w:tcMar>
            <w:vAlign w:val="center"/>
          </w:tcPr>
          <w:p w14:paraId="4B7316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李文强</w:t>
            </w:r>
          </w:p>
        </w:tc>
      </w:tr>
      <w:tr w14:paraId="4BB9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643D77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7851EE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7B04DB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2827C2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590534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重庆市梁平区人民医院</w:t>
            </w:r>
          </w:p>
        </w:tc>
        <w:tc>
          <w:tcPr>
            <w:tcW w:w="1524" w:type="dxa"/>
            <w:noWrap w:val="0"/>
            <w:tcMar>
              <w:left w:w="108" w:type="dxa"/>
              <w:right w:w="108" w:type="dxa"/>
            </w:tcMar>
            <w:vAlign w:val="center"/>
          </w:tcPr>
          <w:p w14:paraId="616E14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何映辉</w:t>
            </w:r>
          </w:p>
        </w:tc>
      </w:tr>
      <w:tr w14:paraId="4B07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1D7985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8C470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365AFD3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4C7252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3C0FDA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重庆市忠县人民医院</w:t>
            </w:r>
          </w:p>
        </w:tc>
        <w:tc>
          <w:tcPr>
            <w:tcW w:w="1524" w:type="dxa"/>
            <w:noWrap w:val="0"/>
            <w:tcMar>
              <w:left w:w="108" w:type="dxa"/>
              <w:right w:w="108" w:type="dxa"/>
            </w:tcMar>
            <w:vAlign w:val="center"/>
          </w:tcPr>
          <w:p w14:paraId="213990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张伟</w:t>
            </w:r>
          </w:p>
        </w:tc>
      </w:tr>
      <w:tr w14:paraId="2C89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1F1C25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3367B5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7FE397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666CC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3CF29A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lang w:val="en-US" w:eastAsia="zh-CN"/>
              </w:rPr>
              <w:t>重庆市</w:t>
            </w:r>
            <w:r>
              <w:rPr>
                <w:rFonts w:hint="eastAsia" w:ascii="仿宋" w:hAnsi="仿宋" w:eastAsia="仿宋" w:cs="仿宋"/>
                <w:b w:val="0"/>
                <w:bCs/>
                <w:sz w:val="18"/>
                <w:szCs w:val="18"/>
              </w:rPr>
              <w:t>云阳县人民医院</w:t>
            </w:r>
          </w:p>
        </w:tc>
        <w:tc>
          <w:tcPr>
            <w:tcW w:w="1524" w:type="dxa"/>
            <w:noWrap w:val="0"/>
            <w:tcMar>
              <w:left w:w="108" w:type="dxa"/>
              <w:right w:w="108" w:type="dxa"/>
            </w:tcMar>
            <w:vAlign w:val="center"/>
          </w:tcPr>
          <w:p w14:paraId="5F62928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邓志华</w:t>
            </w:r>
          </w:p>
        </w:tc>
      </w:tr>
      <w:tr w14:paraId="263F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44F129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DFEBA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4759A3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50B6A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78A9D1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lang w:val="en-US" w:eastAsia="zh-CN"/>
              </w:rPr>
              <w:t>重庆市</w:t>
            </w:r>
            <w:r>
              <w:rPr>
                <w:rFonts w:hint="eastAsia" w:ascii="仿宋" w:hAnsi="仿宋" w:eastAsia="仿宋" w:cs="仿宋"/>
                <w:b w:val="0"/>
                <w:bCs/>
                <w:sz w:val="18"/>
                <w:szCs w:val="18"/>
              </w:rPr>
              <w:t>丰都县人民医院</w:t>
            </w:r>
          </w:p>
        </w:tc>
        <w:tc>
          <w:tcPr>
            <w:tcW w:w="1524" w:type="dxa"/>
            <w:noWrap w:val="0"/>
            <w:tcMar>
              <w:left w:w="108" w:type="dxa"/>
              <w:right w:w="108" w:type="dxa"/>
            </w:tcMar>
            <w:vAlign w:val="center"/>
          </w:tcPr>
          <w:p w14:paraId="089C98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白家丽</w:t>
            </w:r>
          </w:p>
        </w:tc>
      </w:tr>
      <w:tr w14:paraId="575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5A713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651ED08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B9B3D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B2C9D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349257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lang w:val="en-US" w:eastAsia="zh-CN"/>
              </w:rPr>
              <w:t>重庆市</w:t>
            </w:r>
            <w:r>
              <w:rPr>
                <w:rFonts w:hint="eastAsia" w:ascii="仿宋" w:hAnsi="仿宋" w:eastAsia="仿宋" w:cs="仿宋"/>
                <w:b w:val="0"/>
                <w:bCs/>
                <w:sz w:val="18"/>
                <w:szCs w:val="18"/>
              </w:rPr>
              <w:t>巫山县人民医院</w:t>
            </w:r>
          </w:p>
        </w:tc>
        <w:tc>
          <w:tcPr>
            <w:tcW w:w="1524" w:type="dxa"/>
            <w:noWrap w:val="0"/>
            <w:tcMar>
              <w:left w:w="108" w:type="dxa"/>
              <w:right w:w="108" w:type="dxa"/>
            </w:tcMar>
            <w:vAlign w:val="center"/>
          </w:tcPr>
          <w:p w14:paraId="7BD409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李继聪</w:t>
            </w:r>
          </w:p>
        </w:tc>
      </w:tr>
      <w:tr w14:paraId="5D40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43695D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BFDD4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7CEC93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02E4CA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07FCB1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重庆三峡医药高等专科学校附属人民医院</w:t>
            </w:r>
          </w:p>
        </w:tc>
        <w:tc>
          <w:tcPr>
            <w:tcW w:w="1524" w:type="dxa"/>
            <w:noWrap w:val="0"/>
            <w:tcMar>
              <w:left w:w="108" w:type="dxa"/>
              <w:right w:w="108" w:type="dxa"/>
            </w:tcMar>
            <w:vAlign w:val="center"/>
          </w:tcPr>
          <w:p w14:paraId="76FC25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李萍</w:t>
            </w:r>
          </w:p>
        </w:tc>
      </w:tr>
      <w:tr w14:paraId="0B6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restart"/>
            <w:noWrap w:val="0"/>
            <w:tcMar>
              <w:left w:w="108" w:type="dxa"/>
              <w:right w:w="108" w:type="dxa"/>
            </w:tcMar>
            <w:vAlign w:val="center"/>
          </w:tcPr>
          <w:p w14:paraId="283B17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渝东南片区</w:t>
            </w:r>
          </w:p>
        </w:tc>
        <w:tc>
          <w:tcPr>
            <w:tcW w:w="1776" w:type="dxa"/>
            <w:vMerge w:val="restart"/>
            <w:noWrap w:val="0"/>
            <w:tcMar>
              <w:left w:w="108" w:type="dxa"/>
              <w:right w:w="108" w:type="dxa"/>
            </w:tcMar>
            <w:vAlign w:val="center"/>
          </w:tcPr>
          <w:p w14:paraId="418D0C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渝东南分中心</w:t>
            </w:r>
          </w:p>
        </w:tc>
        <w:tc>
          <w:tcPr>
            <w:tcW w:w="1524" w:type="dxa"/>
            <w:vMerge w:val="restart"/>
            <w:noWrap w:val="0"/>
            <w:tcMar>
              <w:left w:w="108" w:type="dxa"/>
              <w:right w:w="108" w:type="dxa"/>
            </w:tcMar>
            <w:vAlign w:val="center"/>
          </w:tcPr>
          <w:p w14:paraId="24703D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胡凌云</w:t>
            </w:r>
          </w:p>
        </w:tc>
        <w:tc>
          <w:tcPr>
            <w:tcW w:w="1993" w:type="dxa"/>
            <w:vMerge w:val="restart"/>
            <w:noWrap w:val="0"/>
            <w:tcMar>
              <w:left w:w="108" w:type="dxa"/>
              <w:right w:w="108" w:type="dxa"/>
            </w:tcMar>
            <w:vAlign w:val="center"/>
          </w:tcPr>
          <w:p w14:paraId="0F0F37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（由分中心分配）</w:t>
            </w:r>
          </w:p>
        </w:tc>
        <w:tc>
          <w:tcPr>
            <w:tcW w:w="4593" w:type="dxa"/>
            <w:noWrap w:val="0"/>
            <w:tcMar>
              <w:left w:w="108" w:type="dxa"/>
              <w:right w:w="108" w:type="dxa"/>
            </w:tcMar>
            <w:vAlign w:val="center"/>
          </w:tcPr>
          <w:p w14:paraId="1CC330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重庆大学附属涪陵医院</w:t>
            </w:r>
          </w:p>
        </w:tc>
        <w:tc>
          <w:tcPr>
            <w:tcW w:w="1524" w:type="dxa"/>
            <w:noWrap w:val="0"/>
            <w:tcMar>
              <w:left w:w="108" w:type="dxa"/>
              <w:right w:w="108" w:type="dxa"/>
            </w:tcMar>
            <w:vAlign w:val="center"/>
          </w:tcPr>
          <w:p w14:paraId="4E7FFDA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胡凌云</w:t>
            </w:r>
          </w:p>
        </w:tc>
      </w:tr>
      <w:tr w14:paraId="46DC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1E15B9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0E904F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1975E5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50CF0F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6AFFC1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江苏省人民医院重庆医院（綦江区人民医院）</w:t>
            </w:r>
          </w:p>
        </w:tc>
        <w:tc>
          <w:tcPr>
            <w:tcW w:w="1524" w:type="dxa"/>
            <w:noWrap w:val="0"/>
            <w:tcMar>
              <w:left w:w="108" w:type="dxa"/>
              <w:right w:w="108" w:type="dxa"/>
            </w:tcMar>
            <w:vAlign w:val="center"/>
          </w:tcPr>
          <w:p w14:paraId="143B08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李少雄</w:t>
            </w:r>
          </w:p>
        </w:tc>
      </w:tr>
      <w:tr w14:paraId="7C32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2BC236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21554B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68B4F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6A0B84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001DE8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重庆市长寿区人民医院</w:t>
            </w:r>
          </w:p>
        </w:tc>
        <w:tc>
          <w:tcPr>
            <w:tcW w:w="1524" w:type="dxa"/>
            <w:noWrap w:val="0"/>
            <w:tcMar>
              <w:left w:w="108" w:type="dxa"/>
              <w:right w:w="108" w:type="dxa"/>
            </w:tcMar>
            <w:vAlign w:val="center"/>
          </w:tcPr>
          <w:p w14:paraId="7ED16B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何玉环</w:t>
            </w:r>
          </w:p>
        </w:tc>
      </w:tr>
      <w:tr w14:paraId="62BE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4776B1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7C15F8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B4442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765943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49F0C3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重庆市垫江县人民医院</w:t>
            </w:r>
          </w:p>
        </w:tc>
        <w:tc>
          <w:tcPr>
            <w:tcW w:w="1524" w:type="dxa"/>
            <w:noWrap w:val="0"/>
            <w:tcMar>
              <w:left w:w="108" w:type="dxa"/>
              <w:right w:w="108" w:type="dxa"/>
            </w:tcMar>
            <w:vAlign w:val="center"/>
          </w:tcPr>
          <w:p w14:paraId="520903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赵伟</w:t>
            </w:r>
          </w:p>
        </w:tc>
      </w:tr>
      <w:tr w14:paraId="6026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4B6A64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5E85F6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4984B9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5779B4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07C135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重庆市南川区人民医院</w:t>
            </w:r>
          </w:p>
        </w:tc>
        <w:tc>
          <w:tcPr>
            <w:tcW w:w="1524" w:type="dxa"/>
            <w:noWrap w:val="0"/>
            <w:tcMar>
              <w:left w:w="108" w:type="dxa"/>
              <w:right w:w="108" w:type="dxa"/>
            </w:tcMar>
            <w:vAlign w:val="center"/>
          </w:tcPr>
          <w:p w14:paraId="7F4147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熊联强</w:t>
            </w:r>
          </w:p>
        </w:tc>
      </w:tr>
      <w:tr w14:paraId="44EE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3AA2D4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117E7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67115B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2596B9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584B75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重庆市黔江中心医院</w:t>
            </w:r>
          </w:p>
        </w:tc>
        <w:tc>
          <w:tcPr>
            <w:tcW w:w="1524" w:type="dxa"/>
            <w:noWrap w:val="0"/>
            <w:tcMar>
              <w:left w:w="108" w:type="dxa"/>
              <w:right w:w="108" w:type="dxa"/>
            </w:tcMar>
            <w:vAlign w:val="center"/>
          </w:tcPr>
          <w:p w14:paraId="1B9F7C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张源</w:t>
            </w:r>
          </w:p>
        </w:tc>
      </w:tr>
      <w:tr w14:paraId="2DC6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3" w:type="dxa"/>
            <w:vMerge w:val="continue"/>
            <w:noWrap w:val="0"/>
            <w:tcMar>
              <w:left w:w="108" w:type="dxa"/>
              <w:right w:w="108" w:type="dxa"/>
            </w:tcMar>
            <w:vAlign w:val="center"/>
          </w:tcPr>
          <w:p w14:paraId="041E6F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776" w:type="dxa"/>
            <w:vMerge w:val="continue"/>
            <w:noWrap w:val="0"/>
            <w:tcMar>
              <w:left w:w="108" w:type="dxa"/>
              <w:right w:w="108" w:type="dxa"/>
            </w:tcMar>
            <w:vAlign w:val="center"/>
          </w:tcPr>
          <w:p w14:paraId="4AB054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524" w:type="dxa"/>
            <w:vMerge w:val="continue"/>
            <w:noWrap w:val="0"/>
            <w:tcMar>
              <w:left w:w="108" w:type="dxa"/>
              <w:right w:w="108" w:type="dxa"/>
            </w:tcMar>
            <w:vAlign w:val="center"/>
          </w:tcPr>
          <w:p w14:paraId="2995AC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1993" w:type="dxa"/>
            <w:vMerge w:val="continue"/>
            <w:noWrap w:val="0"/>
            <w:tcMar>
              <w:left w:w="108" w:type="dxa"/>
              <w:right w:w="108" w:type="dxa"/>
            </w:tcMar>
            <w:vAlign w:val="center"/>
          </w:tcPr>
          <w:p w14:paraId="63EBE5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p>
        </w:tc>
        <w:tc>
          <w:tcPr>
            <w:tcW w:w="4593" w:type="dxa"/>
            <w:noWrap w:val="0"/>
            <w:tcMar>
              <w:left w:w="108" w:type="dxa"/>
              <w:right w:w="108" w:type="dxa"/>
            </w:tcMar>
            <w:vAlign w:val="center"/>
          </w:tcPr>
          <w:p w14:paraId="1FA944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重庆市万盛经济技术开发区人民医院</w:t>
            </w:r>
          </w:p>
        </w:tc>
        <w:tc>
          <w:tcPr>
            <w:tcW w:w="1524" w:type="dxa"/>
            <w:noWrap w:val="0"/>
            <w:tcMar>
              <w:left w:w="108" w:type="dxa"/>
              <w:right w:w="108" w:type="dxa"/>
            </w:tcMar>
            <w:vAlign w:val="center"/>
          </w:tcPr>
          <w:p w14:paraId="013BBB5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val="0"/>
                <w:bCs/>
                <w:sz w:val="18"/>
                <w:szCs w:val="18"/>
              </w:rPr>
            </w:pPr>
            <w:r>
              <w:rPr>
                <w:rFonts w:hint="eastAsia" w:ascii="仿宋" w:hAnsi="仿宋" w:eastAsia="仿宋" w:cs="仿宋"/>
                <w:b w:val="0"/>
                <w:bCs/>
                <w:sz w:val="18"/>
                <w:szCs w:val="18"/>
              </w:rPr>
              <w:t>殷小琴</w:t>
            </w:r>
          </w:p>
        </w:tc>
      </w:tr>
    </w:tbl>
    <w:p w14:paraId="788FFAEA">
      <w:pPr>
        <w:rPr>
          <w:rFonts w:hint="eastAsia"/>
        </w:rPr>
      </w:pPr>
    </w:p>
    <w:p w14:paraId="1A2FF34F"/>
    <w:sectPr>
      <w:pgSz w:w="16839" w:h="11907" w:orient="landscape"/>
      <w:pgMar w:top="1531" w:right="2098" w:bottom="1531" w:left="1985"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EEBF3B-0333-4298-B3AA-7430D2C71A36}"/>
  </w:font>
  <w:font w:name="黑体">
    <w:panose1 w:val="02010609060101010101"/>
    <w:charset w:val="86"/>
    <w:family w:val="auto"/>
    <w:pitch w:val="default"/>
    <w:sig w:usb0="800002BF" w:usb1="38CF7CFA" w:usb2="00000016" w:usb3="00000000" w:csb0="00040001" w:csb1="00000000"/>
    <w:embedRegular r:id="rId2" w:fontKey="{CE1065F0-A4D5-4525-B529-5593282761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065873C-AE02-4C36-9C46-A0346CC0ACD7}"/>
  </w:font>
  <w:font w:name="等线">
    <w:panose1 w:val="02010600030101010101"/>
    <w:charset w:val="86"/>
    <w:family w:val="auto"/>
    <w:pitch w:val="default"/>
    <w:sig w:usb0="A00002BF" w:usb1="38CF7CFA" w:usb2="00000016" w:usb3="00000000" w:csb0="0004000F" w:csb1="00000000"/>
    <w:embedRegular r:id="rId4" w:fontKey="{089F45E7-82AB-47F4-BE4F-9732A1412D3C}"/>
  </w:font>
  <w:font w:name="方正小标宋简体">
    <w:panose1 w:val="02000000000000000000"/>
    <w:charset w:val="86"/>
    <w:family w:val="script"/>
    <w:pitch w:val="default"/>
    <w:sig w:usb0="00000001" w:usb1="08000000" w:usb2="00000000" w:usb3="00000000" w:csb0="00040000" w:csb1="00000000"/>
    <w:embedRegular r:id="rId5" w:fontKey="{79091B4D-1F56-4ED9-9581-4AA787A98CC9}"/>
  </w:font>
  <w:font w:name="Wingdings 2">
    <w:panose1 w:val="05020102010507070707"/>
    <w:charset w:val="02"/>
    <w:family w:val="roman"/>
    <w:pitch w:val="default"/>
    <w:sig w:usb0="00000000" w:usb1="00000000" w:usb2="00000000" w:usb3="00000000" w:csb0="80000000" w:csb1="00000000"/>
    <w:embedRegular r:id="rId6" w:fontKey="{8F21D32B-8AC0-4EF7-BBD0-41A7BE564EAD}"/>
  </w:font>
  <w:font w:name="微软雅黑">
    <w:panose1 w:val="020B0503020204020204"/>
    <w:charset w:val="86"/>
    <w:family w:val="swiss"/>
    <w:pitch w:val="default"/>
    <w:sig w:usb0="80000287" w:usb1="2ACF3C50" w:usb2="00000016" w:usb3="00000000" w:csb0="0004001F" w:csb1="00000000"/>
    <w:embedRegular r:id="rId7" w:fontKey="{6985C1D0-0401-40A3-BF2E-02AD054BC27E}"/>
  </w:font>
  <w:font w:name="仿宋">
    <w:panose1 w:val="02010609060101010101"/>
    <w:charset w:val="86"/>
    <w:family w:val="auto"/>
    <w:pitch w:val="default"/>
    <w:sig w:usb0="800002BF" w:usb1="38CF7CFA" w:usb2="00000016" w:usb3="00000000" w:csb0="00040001" w:csb1="00000000"/>
    <w:embedRegular r:id="rId8" w:fontKey="{0336CA92-4B3E-45DD-A3CB-A4F9DD1DE3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0D4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4F3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A32A7"/>
    <w:rsid w:val="11B55E39"/>
    <w:rsid w:val="54046E49"/>
    <w:rsid w:val="6BAA32A7"/>
    <w:rsid w:val="6E0E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2404</Words>
  <Characters>2514</Characters>
  <Lines>0</Lines>
  <Paragraphs>0</Paragraphs>
  <TotalTime>2</TotalTime>
  <ScaleCrop>false</ScaleCrop>
  <LinksUpToDate>false</LinksUpToDate>
  <CharactersWithSpaces>2858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2025-10-23T05:46:00Z</dcterms:created>
  <dc:creator>あ.</dc:creator>
  <cp:lastModifiedBy>あ.</cp:lastModifiedBy>
  <dcterms:modified xsi:type="dcterms:W3CDTF">2025-10-23T07:18:35Z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C59341FC040F472DB1CEF8855805BCB3_11</vt:lpwstr>
  </property>
  <property fmtid="{D5CDD505-2E9C-101B-9397-08002B2CF9AE}" pid="4" name="KSOTemplateDocerSaveRecord">
    <vt:lpwstr>eyJoZGlkIjoiODA5OTI2M2ZmNjkyYmUwMTM3OWNjMjM2ODIwOTRmMWQiLCJ1c2VySWQiOiIxMzk2NDMyMDk4In0=</vt:lpwstr>
  </property>
</Properties>
</file>