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项目号：2025ZBYJ0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30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全麻开口器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2025年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日00：00至2025年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全麻开口器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总预算为0.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附件1：全麻开口器的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5309CFE7">
      <w:pPr>
        <w:spacing w:line="44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spacing w:line="400" w:lineRule="exact"/>
        <w:jc w:val="center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全麻开口器的功能及技术要求、商务需求</w:t>
      </w:r>
    </w:p>
    <w:p w14:paraId="4AC194F5">
      <w:pPr>
        <w:numPr>
          <w:ilvl w:val="0"/>
          <w:numId w:val="1"/>
        </w:numPr>
        <w:spacing w:line="400" w:lineRule="exact"/>
        <w:ind w:left="0" w:firstLine="0"/>
        <w:jc w:val="lef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全麻开口器</w:t>
            </w:r>
          </w:p>
        </w:tc>
        <w:tc>
          <w:tcPr>
            <w:tcW w:w="1718" w:type="dxa"/>
            <w:vAlign w:val="center"/>
          </w:tcPr>
          <w:p w14:paraId="6FB10713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1B37214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9"/>
        <w:spacing w:line="440" w:lineRule="exact"/>
        <w:ind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二、设备功能及技术需求</w:t>
      </w:r>
    </w:p>
    <w:p w14:paraId="47BA1A68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>1.功能用途：用于手术患者在全麻状态下撑开口腔。</w:t>
      </w:r>
    </w:p>
    <w:p w14:paraId="6E4A5343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>2.具体技术需求</w:t>
      </w:r>
    </w:p>
    <w:p w14:paraId="54286B6F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（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>1</w:t>
      </w: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）</w:t>
      </w:r>
      <w:r>
        <w:rPr>
          <w:rFonts w:hint="eastAsia" w:ascii="Cambria Math" w:hAnsi="Cambria Math" w:eastAsia="楷体" w:cs="Cambria Math"/>
          <w:sz w:val="24"/>
          <w:szCs w:val="24"/>
        </w:rPr>
        <w:t xml:space="preserve">调节支架垂直开口：≥60mm，配套压舌板≥4个，压舌板尺寸，宽度：18-25mm，长度：50-100mm。 </w:t>
      </w:r>
    </w:p>
    <w:p w14:paraId="1A2CED6B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 xml:space="preserve">（2）压舌板上下调节时应顺畅，无卡滞现象，可自由定位，连接部位应牢固可靠，焊缝应平整、光滑，无脱焊、堆焊现象。 </w:t>
      </w:r>
    </w:p>
    <w:p w14:paraId="6908C14F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 xml:space="preserve">（3）采用医用不锈钢，材料化学成分符合YY/T 0294.1-2016标准要求。                                                              </w:t>
      </w:r>
    </w:p>
    <w:p w14:paraId="28FFADA7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 xml:space="preserve">（4）表面无镀层处理，与人体接触的部位表面粗糙度Ra值应≤0.8μm，其余部位应≤1.6μm。                                                                      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 xml:space="preserve">   </w:t>
      </w:r>
      <w:r>
        <w:rPr>
          <w:rFonts w:hint="eastAsia" w:ascii="Cambria Math" w:hAnsi="Cambria Math" w:eastAsia="楷体" w:cs="Cambria Math"/>
          <w:sz w:val="24"/>
          <w:szCs w:val="24"/>
        </w:rPr>
        <w:t xml:space="preserve">                                                                                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 xml:space="preserve">  </w:t>
      </w:r>
    </w:p>
    <w:p w14:paraId="6237B239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（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>5</w:t>
      </w: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）</w:t>
      </w:r>
      <w:r>
        <w:rPr>
          <w:rFonts w:hint="eastAsia" w:ascii="Cambria Math" w:hAnsi="Cambria Math" w:eastAsia="楷体" w:cs="Cambria Math"/>
          <w:sz w:val="24"/>
          <w:szCs w:val="24"/>
        </w:rPr>
        <w:t>具有良好的耐腐蚀性能，符合YY/T 0149-2006中沸水试验法b级要求。</w:t>
      </w:r>
    </w:p>
    <w:p w14:paraId="44D7C120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（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>5</w:t>
      </w: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）</w:t>
      </w:r>
      <w:r>
        <w:rPr>
          <w:rFonts w:hint="eastAsia" w:ascii="Cambria Math" w:hAnsi="Cambria Math" w:eastAsia="楷体" w:cs="Cambria Math"/>
          <w:sz w:val="24"/>
          <w:szCs w:val="24"/>
        </w:rPr>
        <w:t>手柄按人体工程学设计，操作稳定，手感舒适。</w:t>
      </w:r>
      <w:r>
        <w:rPr>
          <w:rFonts w:ascii="Cambria Math" w:hAnsi="Cambria Math" w:eastAsia="楷体" w:cs="Cambria Math"/>
          <w:sz w:val="24"/>
          <w:szCs w:val="24"/>
        </w:rPr>
        <w:t>​</w:t>
      </w:r>
    </w:p>
    <w:p w14:paraId="7C33F8D3">
      <w:pPr>
        <w:pStyle w:val="19"/>
        <w:spacing w:line="440" w:lineRule="exact"/>
        <w:ind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三.商务要求</w:t>
      </w:r>
    </w:p>
    <w:p w14:paraId="5AE7A7E3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1.设备整机质保期：≥3年。</w:t>
      </w:r>
    </w:p>
    <w:p w14:paraId="5998E969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2.设备质保期内，出现不可修复的质量问题需无条件更换全新同品牌、同型号产品，修复期超过五天时需提供备用机。质保期内，产品厂家每年至少提供巡检服务1次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136013D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3.合同期内不得随意变更配送单位。</w:t>
      </w:r>
    </w:p>
    <w:p w14:paraId="2AEE80DB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4.若有配套易损件或封闭专用耗材（专机专用）的，需同时报价，否则视为标配。</w:t>
      </w:r>
    </w:p>
    <w:p w14:paraId="0E84F9D4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收到采购人通知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后30天内。</w:t>
      </w:r>
    </w:p>
    <w:p w14:paraId="11A5EBD9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</w:p>
    <w:p w14:paraId="3CA51BA1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68ECB1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E25992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质保期满后，设备技术保服务为***万元/台/年；设备全保服务费用为***万元/台/年。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0369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267E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CE7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11D7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024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079"/>
    <w:rsid w:val="009F76F0"/>
    <w:rsid w:val="00A00582"/>
    <w:rsid w:val="00A00B20"/>
    <w:rsid w:val="00A0121E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590B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CB0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41351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0EA4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BED532D"/>
    <w:rsid w:val="0C4735CD"/>
    <w:rsid w:val="0E1924B1"/>
    <w:rsid w:val="0EAC0C2F"/>
    <w:rsid w:val="0F646014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5CE4D41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7D190E"/>
    <w:rsid w:val="2B8A00F2"/>
    <w:rsid w:val="2C6D3C9C"/>
    <w:rsid w:val="2CB76CC5"/>
    <w:rsid w:val="2DA059AB"/>
    <w:rsid w:val="2DB423F4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023900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字符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字符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字符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rPr>
      <w:rFonts w:ascii="Helvetica Neue" w:hAnsi="Helvetica Neue" w:eastAsia="Helvetica Neue" w:cs="Helvetica Neue"/>
      <w:color w:val="000000"/>
      <w:sz w:val="22"/>
      <w:szCs w:val="22"/>
      <w:u w:color="000000"/>
      <w:lang w:val="en-US" w:eastAsia="zh-CN" w:bidi="ar-SA"/>
    </w:rPr>
  </w:style>
  <w:style w:type="character" w:customStyle="1" w:styleId="28">
    <w:name w:val="标题 1 字符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4">
    <w:name w:val="列表段落 字符"/>
    <w:basedOn w:val="13"/>
    <w:link w:val="19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1579</Words>
  <Characters>1711</Characters>
  <Lines>14</Lines>
  <Paragraphs>4</Paragraphs>
  <TotalTime>1</TotalTime>
  <ScaleCrop>false</ScaleCrop>
  <LinksUpToDate>false</LinksUpToDate>
  <CharactersWithSpaces>1914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2025-01-15T09:00:00Z</cp:lastPrinted>
  <dcterms:modified xsi:type="dcterms:W3CDTF">2025-11-18T02:49:03Z</dcterms:modified>
  <cp:revision>844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eyJoZGlkIjoiYzU4YTExNzY3MGFjOWZmODYyNjhkM2FiN2IxY2YwMTIiLCJ1c2VySWQiOiIyNzY2MzA5OTgifQ==</vt:lpwstr>
  </property>
</Properties>
</file>