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2025FW137</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兴龙湖院区开荒清洁服务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十一月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kern w:val="2"/>
          <w:sz w:val="44"/>
          <w:szCs w:val="44"/>
          <w:lang w:val="en-US" w:eastAsia="zh-CN" w:bidi="ar-SA"/>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sz w:val="44"/>
              <w:szCs w:val="44"/>
            </w:rPr>
          </w:pPr>
          <w:r>
            <w:rPr>
              <w:rFonts w:ascii="宋体" w:hAnsi="宋体" w:eastAsia="宋体"/>
              <w:sz w:val="44"/>
              <w:szCs w:val="44"/>
            </w:rPr>
            <w:t>目录</w:t>
          </w:r>
        </w:p>
        <w:p w14:paraId="790CEC07">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_Toc23588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第一篇  比选邀请书</w:t>
          </w:r>
          <w:r>
            <w:tab/>
          </w:r>
          <w:r>
            <w:fldChar w:fldCharType="begin"/>
          </w:r>
          <w:r>
            <w:instrText xml:space="preserve"> PAGEREF _Toc23588 \h </w:instrText>
          </w:r>
          <w:r>
            <w:fldChar w:fldCharType="separate"/>
          </w:r>
          <w:r>
            <w:t>2</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_Toc25322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第二篇 供应商须知</w:t>
          </w:r>
          <w:r>
            <w:tab/>
          </w:r>
          <w:r>
            <w:fldChar w:fldCharType="begin"/>
          </w:r>
          <w:r>
            <w:instrText xml:space="preserve"> PAGEREF _Toc25322 \h </w:instrText>
          </w:r>
          <w:r>
            <w:fldChar w:fldCharType="separate"/>
          </w:r>
          <w:r>
            <w:t>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_Toc7206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第三篇  项目服务需求</w:t>
          </w:r>
          <w:r>
            <w:tab/>
          </w:r>
          <w:r>
            <w:fldChar w:fldCharType="begin"/>
          </w:r>
          <w:r>
            <w:instrText xml:space="preserve"> PAGEREF _Toc7206 \h </w:instrText>
          </w:r>
          <w:r>
            <w:fldChar w:fldCharType="separate"/>
          </w:r>
          <w:r>
            <w:t>13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_Toc17014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第四篇  项目商务需求</w:t>
          </w:r>
          <w:r>
            <w:tab/>
          </w:r>
          <w:r>
            <w:fldChar w:fldCharType="begin"/>
          </w:r>
          <w:r>
            <w:instrText xml:space="preserve"> PAGEREF _Toc17014 \h </w:instrText>
          </w:r>
          <w:r>
            <w:fldChar w:fldCharType="separate"/>
          </w:r>
          <w:r>
            <w:t>14</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_Toc26989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第五篇  合同草案条款</w:t>
          </w:r>
          <w:r>
            <w:tab/>
          </w:r>
          <w:r>
            <w:fldChar w:fldCharType="begin"/>
          </w:r>
          <w:r>
            <w:instrText xml:space="preserve"> PAGEREF _Toc26989 \h </w:instrText>
          </w:r>
          <w:r>
            <w:fldChar w:fldCharType="separate"/>
          </w:r>
          <w:r>
            <w:t>15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_Toc14085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第六篇  响应文件格式要求</w:t>
          </w:r>
          <w:r>
            <w:tab/>
          </w:r>
          <w:r>
            <w:fldChar w:fldCharType="begin"/>
          </w:r>
          <w:r>
            <w:instrText xml:space="preserve"> PAGEREF _Toc14085 \h </w:instrText>
          </w:r>
          <w:r>
            <w:fldChar w:fldCharType="separate"/>
          </w:r>
          <w:r>
            <w:t>17</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_Toc5685 </w:instrText>
          </w:r>
          <w:r>
            <w:rPr>
              <w:rFonts w:hint="eastAsia" w:ascii="宋体" w:hAnsi="宋体" w:eastAsia="宋体" w:cs="宋体"/>
              <w:szCs w:val="28"/>
              <w:shd w:val="clear" w:color="auto" w:fill="auto"/>
            </w:rPr>
            <w:fldChar w:fldCharType="separate"/>
          </w:r>
          <w:r>
            <w:rPr>
              <w:rFonts w:hint="eastAsia" w:ascii="宋体" w:hAnsi="宋体" w:cs="宋体"/>
              <w:szCs w:val="24"/>
              <w:shd w:val="clear" w:color="auto" w:fill="auto"/>
              <w:lang w:eastAsia="zh-CN"/>
            </w:rPr>
            <w:t>（一）</w:t>
          </w:r>
          <w:r>
            <w:rPr>
              <w:rFonts w:hint="eastAsia" w:ascii="宋体" w:hAnsi="宋体" w:eastAsia="宋体" w:cs="宋体"/>
              <w:szCs w:val="24"/>
              <w:shd w:val="clear" w:color="auto" w:fill="auto"/>
            </w:rPr>
            <w:t>其他应提供的资料</w:t>
          </w:r>
          <w:r>
            <w:tab/>
          </w:r>
          <w:r>
            <w:fldChar w:fldCharType="begin"/>
          </w:r>
          <w:r>
            <w:instrText xml:space="preserve"> PAGEREF _Toc5685 \h </w:instrText>
          </w:r>
          <w:r>
            <w:fldChar w:fldCharType="separate"/>
          </w:r>
          <w:r>
            <w:t>18</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_Toc12908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（二）</w:t>
          </w:r>
          <w:r>
            <w:rPr>
              <w:rFonts w:hint="eastAsia" w:ascii="宋体" w:hAnsi="宋体" w:eastAsia="宋体" w:cs="宋体"/>
              <w:shd w:val="clear" w:color="auto" w:fill="auto"/>
            </w:rPr>
            <w:t>服务部分</w:t>
          </w:r>
          <w:r>
            <w:tab/>
          </w:r>
          <w:r>
            <w:fldChar w:fldCharType="begin"/>
          </w:r>
          <w:r>
            <w:instrText xml:space="preserve"> PAGEREF _Toc12908 \h </w:instrText>
          </w:r>
          <w:r>
            <w:fldChar w:fldCharType="separate"/>
          </w:r>
          <w:r>
            <w:t>21</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_Toc15203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（三）</w:t>
          </w:r>
          <w:r>
            <w:rPr>
              <w:rFonts w:hint="eastAsia" w:ascii="宋体" w:hAnsi="宋体" w:eastAsia="宋体" w:cs="宋体"/>
              <w:shd w:val="clear" w:color="auto" w:fill="auto"/>
            </w:rPr>
            <w:t>商务部分</w:t>
          </w:r>
          <w:r>
            <w:tab/>
          </w:r>
          <w:r>
            <w:fldChar w:fldCharType="begin"/>
          </w:r>
          <w:r>
            <w:instrText xml:space="preserve"> PAGEREF _Toc15203 \h </w:instrText>
          </w:r>
          <w:r>
            <w:fldChar w:fldCharType="separate"/>
          </w:r>
          <w:r>
            <w:t>23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_Toc9941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（四）</w:t>
          </w:r>
          <w:r>
            <w:rPr>
              <w:rFonts w:hint="eastAsia" w:ascii="宋体" w:hAnsi="宋体" w:eastAsia="宋体" w:cs="宋体"/>
              <w:shd w:val="clear" w:color="auto" w:fill="auto"/>
            </w:rPr>
            <w:t>资格条件及其他</w:t>
          </w:r>
          <w:r>
            <w:tab/>
          </w:r>
          <w:r>
            <w:fldChar w:fldCharType="begin"/>
          </w:r>
          <w:r>
            <w:instrText xml:space="preserve"> PAGEREF _Toc9941 \h </w:instrText>
          </w:r>
          <w:r>
            <w:fldChar w:fldCharType="separate"/>
          </w:r>
          <w:r>
            <w:t>26</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11641050"/>
      <w:bookmarkStart w:id="1" w:name="_Toc25875"/>
      <w:bookmarkStart w:id="2" w:name="_Toc485108766"/>
      <w:bookmarkStart w:id="3" w:name="_Toc6921"/>
      <w:bookmarkStart w:id="4" w:name="_Toc23588"/>
      <w:bookmarkStart w:id="5" w:name="_Toc12789052"/>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17775178"/>
      <w:bookmarkStart w:id="7" w:name="_Toc373860293"/>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兴龙湖院区开荒清洁服务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485108767"/>
      <w:bookmarkStart w:id="9" w:name="_Toc313893526"/>
      <w:bookmarkStart w:id="10" w:name="_Toc317775175"/>
      <w:bookmarkStart w:id="11" w:name="_Toc28443"/>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兴龙湖院区开荒清洁服务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tc>
      </w:tr>
    </w:tbl>
    <w:p w14:paraId="00DB30B5">
      <w:pPr>
        <w:spacing w:line="560" w:lineRule="exact"/>
        <w:jc w:val="left"/>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6609"/>
      <w:bookmarkStart w:id="13" w:name="_Toc485108768"/>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：医院自筹,预算金额：32.07万元。</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11958"/>
      <w:bookmarkStart w:id="17" w:name="_Toc6"/>
      <w:bookmarkStart w:id="18" w:name="_Toc102227313"/>
      <w:bookmarkStart w:id="19" w:name="_Toc485108774"/>
    </w:p>
    <w:p w14:paraId="47DF5BDD">
      <w:pPr>
        <w:spacing w:line="480" w:lineRule="exact"/>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有效的三证合一营业执照（经营范围包含相应内容）</w:t>
      </w:r>
    </w:p>
    <w:p w14:paraId="54D434CB">
      <w:pPr>
        <w:spacing w:line="48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11</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11</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11</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26</w:t>
      </w:r>
      <w:bookmarkStart w:id="189" w:name="_GoBack"/>
      <w:bookmarkEnd w:id="189"/>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54718176"/>
      <w:bookmarkStart w:id="24" w:name="_Toc373860294"/>
      <w:bookmarkStart w:id="25" w:name="_Toc54171062"/>
    </w:p>
    <w:bookmarkEnd w:id="23"/>
    <w:bookmarkEnd w:id="24"/>
    <w:bookmarkEnd w:id="25"/>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1625"/>
      <w:bookmarkStart w:id="27" w:name="_Toc2806"/>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9130"/>
      <w:bookmarkStart w:id="29" w:name="_Toc3139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tabs>
          <w:tab w:val="left" w:pos="6627"/>
        </w:tabs>
        <w:ind w:firstLine="480" w:firstLineChars="200"/>
        <w:jc w:val="left"/>
        <w:rPr>
          <w:rFonts w:hint="eastAsia" w:ascii="宋体" w:hAnsi="宋体" w:eastAsia="宋体" w:cs="宋体"/>
          <w:color w:val="000000" w:themeColor="text1"/>
          <w:sz w:val="36"/>
          <w:szCs w:val="30"/>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ab/>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25322"/>
      <w:bookmarkStart w:id="33" w:name="_Toc10478"/>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71441A98">
      <w:pPr>
        <w:spacing w:line="560" w:lineRule="exact"/>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1.报价方式：</w:t>
      </w:r>
      <w:r>
        <w:rPr>
          <w:rFonts w:hint="eastAsia" w:ascii="宋体" w:hAnsi="宋体" w:eastAsia="宋体" w:cs="宋体"/>
          <w:color w:val="FF0000"/>
          <w:sz w:val="24"/>
          <w:szCs w:val="24"/>
          <w:shd w:val="clear" w:color="auto" w:fill="auto"/>
          <w:lang w:eastAsia="zh-CN"/>
        </w:rPr>
        <w:t>参选报</w:t>
      </w:r>
      <w:r>
        <w:rPr>
          <w:rFonts w:hint="eastAsia" w:ascii="宋体" w:hAnsi="宋体" w:eastAsia="宋体" w:cs="宋体"/>
          <w:color w:val="FF0000"/>
          <w:sz w:val="24"/>
          <w:szCs w:val="24"/>
          <w:shd w:val="clear" w:color="auto" w:fill="auto"/>
          <w:lang w:val="en-US" w:eastAsia="zh-CN"/>
        </w:rPr>
        <w:t>价为包干价，</w:t>
      </w:r>
      <w:r>
        <w:rPr>
          <w:rFonts w:hint="eastAsia" w:ascii="宋体" w:hAnsi="宋体" w:eastAsia="宋体" w:cs="宋体"/>
          <w:color w:val="FF0000"/>
          <w:sz w:val="24"/>
          <w:szCs w:val="24"/>
          <w:shd w:val="clear" w:color="auto" w:fill="auto"/>
          <w:lang w:eastAsia="zh-CN"/>
        </w:rPr>
        <w:t>包含但不限于服务费、物料费、保险费、税费等各项费用。</w:t>
      </w:r>
      <w:r>
        <w:rPr>
          <w:rFonts w:hint="eastAsia" w:ascii="宋体" w:hAnsi="宋体" w:eastAsia="宋体" w:cs="宋体"/>
          <w:color w:val="FF0000"/>
          <w:sz w:val="24"/>
          <w:szCs w:val="24"/>
          <w:shd w:val="clear" w:color="auto" w:fill="auto"/>
          <w:lang w:val="en-US" w:eastAsia="zh-CN"/>
        </w:rPr>
        <w:t>(报价表见第六章)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7" w:name="OLE_LINK8"/>
      <w:bookmarkStart w:id="38" w:name="OLE_LINK3"/>
      <w:bookmarkStart w:id="39" w:name="OLE_LINK9"/>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7"/>
    <w:bookmarkEnd w:id="38"/>
    <w:bookmarkEnd w:id="39"/>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0" w:name="_Toc102227319"/>
      <w:bookmarkStart w:id="41" w:name="_Toc342913393"/>
      <w:bookmarkStart w:id="42" w:name="_Toc403569780"/>
      <w:bookmarkStart w:id="43" w:name="_Toc179714298"/>
      <w:bookmarkStart w:id="44" w:name="_Toc18122"/>
      <w:bookmarkStart w:id="45" w:name="_Toc19143"/>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0"/>
      <w:bookmarkEnd w:id="41"/>
      <w:bookmarkEnd w:id="42"/>
      <w:bookmarkEnd w:id="43"/>
      <w:bookmarkEnd w:id="44"/>
      <w:bookmarkEnd w:id="45"/>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6" w:name="_Toc28776"/>
      <w:bookmarkStart w:id="47" w:name="_Toc403569781"/>
      <w:bookmarkStart w:id="48" w:name="_Toc14247"/>
      <w:bookmarkStart w:id="49" w:name="_Toc102227320"/>
      <w:bookmarkStart w:id="50"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6"/>
      <w:bookmarkEnd w:id="47"/>
      <w:bookmarkEnd w:id="48"/>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1" w:name="_Toc14816"/>
      <w:bookmarkStart w:id="52" w:name="_Toc403569782"/>
      <w:bookmarkStart w:id="53" w:name="_Toc29340"/>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9"/>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0"/>
      <w:bookmarkEnd w:id="51"/>
      <w:bookmarkEnd w:id="52"/>
      <w:bookmarkEnd w:id="53"/>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1.评审小组将依照本比选文件相关规定对</w:t>
      </w:r>
      <w:r>
        <w:rPr>
          <w:rFonts w:hint="eastAsia" w:ascii="宋体" w:hAnsi="宋体" w:eastAsia="宋体" w:cs="宋体"/>
          <w:color w:val="FF0000"/>
          <w:sz w:val="24"/>
          <w:szCs w:val="24"/>
          <w:shd w:val="clear" w:color="auto" w:fill="auto"/>
          <w:lang w:eastAsia="zh-CN"/>
        </w:rPr>
        <w:t>服务</w:t>
      </w:r>
      <w:r>
        <w:rPr>
          <w:rFonts w:hint="eastAsia" w:ascii="宋体" w:hAnsi="宋体" w:eastAsia="宋体" w:cs="宋体"/>
          <w:color w:val="FF0000"/>
          <w:sz w:val="24"/>
          <w:szCs w:val="24"/>
          <w:shd w:val="clear" w:color="auto" w:fill="auto"/>
        </w:rPr>
        <w:t>和</w:t>
      </w:r>
      <w:r>
        <w:rPr>
          <w:rFonts w:hint="eastAsia" w:ascii="宋体" w:hAnsi="宋体" w:eastAsia="宋体" w:cs="宋体"/>
          <w:color w:val="FF0000"/>
          <w:sz w:val="24"/>
          <w:szCs w:val="24"/>
          <w:shd w:val="clear" w:color="auto" w:fill="auto"/>
          <w:lang w:eastAsia="zh-CN"/>
        </w:rPr>
        <w:t>商务</w:t>
      </w:r>
      <w:r>
        <w:rPr>
          <w:rFonts w:hint="eastAsia" w:ascii="宋体" w:hAnsi="宋体" w:eastAsia="宋体" w:cs="宋体"/>
          <w:color w:val="FF0000"/>
          <w:sz w:val="24"/>
          <w:szCs w:val="24"/>
          <w:shd w:val="clear" w:color="auto" w:fill="auto"/>
        </w:rPr>
        <w:t>均能满足比选实质性响应要求的供应商所提交的最后报价由</w:t>
      </w:r>
      <w:r>
        <w:rPr>
          <w:rFonts w:hint="eastAsia" w:ascii="宋体" w:hAnsi="宋体" w:eastAsia="宋体" w:cs="宋体"/>
          <w:color w:val="FF0000"/>
          <w:sz w:val="24"/>
          <w:szCs w:val="24"/>
          <w:shd w:val="clear" w:color="auto" w:fill="auto"/>
          <w:lang w:eastAsia="zh-CN"/>
        </w:rPr>
        <w:t>低</w:t>
      </w:r>
      <w:r>
        <w:rPr>
          <w:rFonts w:hint="eastAsia" w:ascii="宋体" w:hAnsi="宋体" w:eastAsia="宋体" w:cs="宋体"/>
          <w:color w:val="FF0000"/>
          <w:sz w:val="24"/>
          <w:szCs w:val="24"/>
          <w:shd w:val="clear" w:color="auto" w:fill="auto"/>
        </w:rPr>
        <w:t>到</w:t>
      </w:r>
      <w:r>
        <w:rPr>
          <w:rFonts w:hint="eastAsia" w:ascii="宋体" w:hAnsi="宋体" w:eastAsia="宋体" w:cs="宋体"/>
          <w:color w:val="FF0000"/>
          <w:sz w:val="24"/>
          <w:szCs w:val="24"/>
          <w:shd w:val="clear" w:color="auto" w:fill="auto"/>
          <w:lang w:eastAsia="zh-CN"/>
        </w:rPr>
        <w:t>高</w:t>
      </w:r>
      <w:r>
        <w:rPr>
          <w:rFonts w:hint="eastAsia" w:ascii="宋体" w:hAnsi="宋体" w:eastAsia="宋体" w:cs="宋体"/>
          <w:color w:val="FF0000"/>
          <w:sz w:val="24"/>
          <w:szCs w:val="24"/>
          <w:shd w:val="clear" w:color="auto" w:fill="auto"/>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4" w:name="_Toc403569783"/>
      <w:bookmarkStart w:id="55" w:name="_Toc7135"/>
      <w:bookmarkStart w:id="56" w:name="_Toc102227321"/>
      <w:bookmarkStart w:id="57" w:name="_Toc3212"/>
      <w:bookmarkStart w:id="58" w:name="_Toc342913395"/>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4"/>
      <w:bookmarkEnd w:id="55"/>
      <w:bookmarkEnd w:id="56"/>
      <w:bookmarkEnd w:id="57"/>
      <w:bookmarkEnd w:id="58"/>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9" w:name="_Toc17413"/>
      <w:bookmarkStart w:id="60" w:name="_Toc12880"/>
      <w:bookmarkStart w:id="61" w:name="_Toc403569784"/>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9"/>
      <w:bookmarkEnd w:id="60"/>
      <w:bookmarkEnd w:id="61"/>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102227322"/>
      <w:bookmarkStart w:id="63" w:name="_Toc342913396"/>
      <w:bookmarkStart w:id="64" w:name="_Toc6381"/>
      <w:bookmarkStart w:id="65" w:name="_Toc403569785"/>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6"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2"/>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3"/>
      <w:bookmarkEnd w:id="64"/>
      <w:bookmarkEnd w:id="65"/>
      <w:bookmarkEnd w:id="66"/>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keepNext/>
        <w:widowControl w:val="0"/>
        <w:snapToGrid w:val="0"/>
        <w:spacing w:line="360" w:lineRule="atLeast"/>
        <w:jc w:val="both"/>
        <w:outlineLvl w:val="9"/>
        <w:rPr>
          <w:rFonts w:hint="eastAsia" w:ascii="宋体" w:hAnsi="宋体" w:eastAsia="宋体" w:cs="宋体"/>
          <w:b/>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7" w:name="_Toc485108784"/>
      <w:bookmarkStart w:id="68" w:name="_Toc11770"/>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69" w:name="_Toc26684"/>
      <w:bookmarkStart w:id="70" w:name="_Toc7206"/>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7"/>
      <w:bookmarkEnd w:id="68"/>
      <w:bookmarkEnd w:id="69"/>
      <w:bookmarkEnd w:id="70"/>
    </w:p>
    <w:p w14:paraId="53EC4B1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1" w:name="_Toc485108787"/>
      <w:bookmarkStart w:id="72" w:name="_Toc28327"/>
      <w:bookmarkStart w:id="73" w:name="_Toc12789058"/>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1FB1C8FD">
      <w:pPr>
        <w:snapToGrid w:val="0"/>
        <w:spacing w:line="400" w:lineRule="exact"/>
        <w:ind w:firstLine="540"/>
        <w:rPr>
          <w:rFonts w:hint="eastAsia" w:ascii="宋体" w:hAnsi="宋体" w:eastAsia="宋体" w:cs="宋体"/>
          <w:color w:val="FF0000"/>
          <w:sz w:val="24"/>
          <w:szCs w:val="24"/>
          <w:shd w:val="clear" w:color="auto" w:fill="auto"/>
          <w:lang w:val="en-US" w:eastAsia="zh-CN"/>
        </w:rPr>
      </w:pPr>
      <w:bookmarkStart w:id="74" w:name="_Toc4364"/>
      <w:bookmarkStart w:id="75" w:name="_Toc17014"/>
      <w:r>
        <w:rPr>
          <w:rFonts w:hint="eastAsia" w:ascii="宋体" w:hAnsi="宋体" w:eastAsia="宋体" w:cs="宋体"/>
          <w:color w:val="FF0000"/>
          <w:sz w:val="24"/>
          <w:szCs w:val="24"/>
          <w:shd w:val="clear" w:color="auto" w:fill="auto"/>
          <w:lang w:val="en-US" w:eastAsia="zh-CN"/>
        </w:rPr>
        <w:t>开荒清洁服务包含但不限于以下内容：</w:t>
      </w:r>
    </w:p>
    <w:p w14:paraId="4D2C1E15">
      <w:pPr>
        <w:snapToGrid w:val="0"/>
        <w:spacing w:line="400" w:lineRule="exact"/>
        <w:ind w:firstLine="54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1.室内地面垃圾、灰尘清理干净。</w:t>
      </w:r>
    </w:p>
    <w:p w14:paraId="2E9B5681">
      <w:pPr>
        <w:snapToGrid w:val="0"/>
        <w:spacing w:line="400" w:lineRule="exact"/>
        <w:ind w:firstLine="54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2.污染地面水泥浆剔除清洗，腻子涂料铲除清洗等。</w:t>
      </w:r>
    </w:p>
    <w:p w14:paraId="0B78351B">
      <w:pPr>
        <w:snapToGrid w:val="0"/>
        <w:spacing w:line="400" w:lineRule="exact"/>
        <w:ind w:firstLine="54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3.内墙面开关面板、墙面污渍、灰尘擦除，五金件、梳妆镜、玻璃隔污渍灰尘擦拭干净，管井立管表面污渍擦除等。</w:t>
      </w:r>
    </w:p>
    <w:p w14:paraId="25FDA1D6">
      <w:pPr>
        <w:snapToGrid w:val="0"/>
        <w:spacing w:line="400" w:lineRule="exact"/>
        <w:ind w:firstLine="54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4.室内门窗保护膜清除，玻璃清洁明亮，衣柜，楼梯间及过道室内扶手等污渍铲除，灰尘擦拭等。</w:t>
      </w:r>
    </w:p>
    <w:p w14:paraId="33DB9B98">
      <w:pPr>
        <w:snapToGrid w:val="0"/>
        <w:spacing w:line="400" w:lineRule="exact"/>
        <w:ind w:firstLine="54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5.天棚灯具、通风口、装饰面板等污渍清除。</w:t>
      </w:r>
    </w:p>
    <w:p w14:paraId="6D926E39">
      <w:pPr>
        <w:snapToGrid w:val="0"/>
        <w:spacing w:line="400" w:lineRule="exact"/>
        <w:ind w:firstLine="54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6.车库地面、消防门、栏杆、灯具等清洁。</w:t>
      </w:r>
    </w:p>
    <w:p w14:paraId="6A9200B2">
      <w:pPr>
        <w:snapToGrid w:val="0"/>
        <w:spacing w:line="400" w:lineRule="exact"/>
        <w:ind w:firstLine="54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7.保证清洗部位无污迹、水迹，垃圾堆放至采购方指定位置。</w:t>
      </w:r>
    </w:p>
    <w:p w14:paraId="09971FA6">
      <w:pPr>
        <w:snapToGrid w:val="0"/>
        <w:spacing w:line="400" w:lineRule="exact"/>
        <w:ind w:firstLine="54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8.服务方自行配备工具、耗品等清洗必备物品，服务过程中的水源、电源接口由采购方提供。</w:t>
      </w:r>
    </w:p>
    <w:p w14:paraId="2C913983">
      <w:pPr>
        <w:snapToGrid w:val="0"/>
        <w:spacing w:line="400" w:lineRule="exact"/>
        <w:ind w:firstLine="54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9.服务方应采取有效的安全措施，保证工作人员和其他人员的人身安全，并承担因安全事故导致的一切经济和法律责任。如有损坏财产须照价赔偿。</w:t>
      </w:r>
    </w:p>
    <w:p w14:paraId="51DE900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117FA40">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26FCD24">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F629A0D">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5B2B24BE">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591F342">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DA32008">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B8BFFBE">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18AF188B">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1A52438">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7CACD0FA">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5BA0E89">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108D4783">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2D6C5CC">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7DCED5B8">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B9912C1">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1"/>
      <w:bookmarkEnd w:id="72"/>
      <w:bookmarkEnd w:id="73"/>
      <w:bookmarkEnd w:id="74"/>
      <w:bookmarkEnd w:id="75"/>
      <w:bookmarkStart w:id="76" w:name="_Toc12789059"/>
      <w:bookmarkStart w:id="77" w:name="_Toc11641055"/>
    </w:p>
    <w:p w14:paraId="5642FEE9">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8" w:name="_Toc11645"/>
      <w:bookmarkStart w:id="79" w:name="_Toc7358"/>
      <w:bookmarkStart w:id="80" w:name="_Toc403569795"/>
      <w:bookmarkStart w:id="81" w:name="_Toc485108793"/>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38D6D532">
      <w:pPr>
        <w:snapToGrid w:val="0"/>
        <w:spacing w:line="400" w:lineRule="exact"/>
        <w:ind w:firstLine="54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1.现场勘查：服务方自行勘查现场，联系人：樊老师，电话：18723019156。</w:t>
      </w:r>
    </w:p>
    <w:p w14:paraId="4311732C">
      <w:pPr>
        <w:snapToGrid w:val="0"/>
        <w:spacing w:line="400" w:lineRule="exact"/>
        <w:ind w:firstLine="54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2.服务方案：服务方自行勘查现场后须提供详细的服务方案。(方案需在比选文件中提供，并加盖公章)</w:t>
      </w:r>
    </w:p>
    <w:p w14:paraId="45327961">
      <w:pPr>
        <w:snapToGrid w:val="0"/>
        <w:spacing w:line="400" w:lineRule="exact"/>
        <w:ind w:firstLine="54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3.服务时间：服务开始时间以采购方电话通知为准。</w:t>
      </w:r>
    </w:p>
    <w:p w14:paraId="259550DA">
      <w:pPr>
        <w:snapToGrid w:val="0"/>
        <w:spacing w:line="400" w:lineRule="exact"/>
        <w:ind w:firstLine="54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4.付款方式：服务费按服务区域面积据实结算，服务方完成工作内容，经采购方确认后提供合法发票，经采购方审核无误后 60日内以转账方式向服务方支付合同价款。</w:t>
      </w:r>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8"/>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79"/>
      <w:bookmarkEnd w:id="80"/>
      <w:bookmarkEnd w:id="81"/>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6"/>
      <w:bookmarkEnd w:id="77"/>
      <w:bookmarkStart w:id="82" w:name="_Toc26989"/>
      <w:bookmarkStart w:id="83" w:name="_Toc403569796"/>
      <w:bookmarkStart w:id="84" w:name="_Toc14840"/>
      <w:bookmarkStart w:id="85" w:name="_Toc15711"/>
      <w:bookmarkStart w:id="86" w:name="_Toc485108794"/>
      <w:bookmarkStart w:id="87" w:name="_Toc303945820"/>
      <w:bookmarkStart w:id="88"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2"/>
      <w:bookmarkEnd w:id="83"/>
      <w:bookmarkEnd w:id="84"/>
      <w:bookmarkEnd w:id="85"/>
      <w:bookmarkEnd w:id="86"/>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9" w:name="_Toc30815"/>
      <w:bookmarkStart w:id="90" w:name="_Toc54718202"/>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89"/>
      <w:bookmarkEnd w:id="90"/>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1"/>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2"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2"/>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3"/>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4"/>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5"/>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17879"/>
      <w:bookmarkStart w:id="97" w:name="_Toc54718203"/>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6"/>
      <w:bookmarkEnd w:id="97"/>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98"/>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9" w:name="_Toc8853"/>
      <w:bookmarkStart w:id="100" w:name="_Toc54718204"/>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99"/>
      <w:bookmarkEnd w:id="100"/>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25177"/>
      <w:bookmarkStart w:id="102"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1"/>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3"/>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2"/>
      <w:bookmarkEnd w:id="104"/>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5"/>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6"/>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7"/>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2241"/>
      <w:bookmarkStart w:id="109" w:name="_Toc54718206"/>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08"/>
      <w:bookmarkEnd w:id="10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0" w:name="_Toc12985"/>
      <w:bookmarkStart w:id="111"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1"/>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2" w:name="_Toc9053"/>
      <w:bookmarkStart w:id="113" w:name="_Toc54718207"/>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2"/>
      <w:bookmarkEnd w:id="113"/>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4"/>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5"/>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6"/>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54718211"/>
      <w:bookmarkStart w:id="118" w:name="_Toc1158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7"/>
      <w:bookmarkEnd w:id="118"/>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19"/>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0"/>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1" w:name="_Toc54718210"/>
      <w:bookmarkStart w:id="122" w:name="_Toc31719"/>
      <w:bookmarkStart w:id="123" w:name="_Toc54718212"/>
      <w:bookmarkStart w:id="124" w:name="_Toc2658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1"/>
      <w:bookmarkEnd w:id="122"/>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5"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5"/>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6"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6"/>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3"/>
      <w:bookmarkEnd w:id="12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7"/>
      <w:bookmarkEnd w:id="128"/>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29"/>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0"/>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1"/>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2"/>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3"/>
    </w:p>
    <w:bookmarkEnd w:id="87"/>
    <w:bookmarkEnd w:id="88"/>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4" w:name="_Hlt41879464"/>
      <w:bookmarkEnd w:id="134"/>
      <w:bookmarkStart w:id="135" w:name="_Toc13696"/>
      <w:bookmarkStart w:id="136" w:name="_Toc485108795"/>
      <w:bookmarkStart w:id="137" w:name="_Toc29521"/>
      <w:bookmarkStart w:id="138" w:name="_Toc14085"/>
      <w:bookmarkStart w:id="139" w:name="_Toc12789072"/>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5"/>
      <w:bookmarkEnd w:id="136"/>
      <w:bookmarkEnd w:id="137"/>
      <w:bookmarkEnd w:id="138"/>
      <w:bookmarkEnd w:id="139"/>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0"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0"/>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1"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1"/>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2"/>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38358147"/>
      <w:bookmarkStart w:id="144" w:name="OLE_LINK11"/>
      <w:bookmarkStart w:id="145"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3"/>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6"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6"/>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7" w:name="_Toc21293"/>
      <w:bookmarkStart w:id="148" w:name="_Toc5685"/>
      <w:bookmarkStart w:id="149" w:name="_Toc19884"/>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7"/>
      <w:bookmarkEnd w:id="148"/>
      <w:bookmarkEnd w:id="149"/>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0"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0"/>
    </w:p>
    <w:bookmarkEnd w:id="144"/>
    <w:bookmarkEnd w:id="145"/>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1" w:name="_Toc485108796"/>
      <w:bookmarkStart w:id="152" w:name="_Toc342913419"/>
      <w:bookmarkStart w:id="153" w:name="_Toc480979018"/>
      <w:bookmarkStart w:id="154" w:name="_Toc313888360"/>
      <w:bookmarkStart w:id="155" w:name="_Toc5565"/>
      <w:bookmarkStart w:id="156" w:name="_Toc313008356"/>
      <w:bookmarkStart w:id="157" w:name="_Toc283382454"/>
      <w:bookmarkStart w:id="158" w:name="_Toc12789073"/>
      <w:r>
        <w:rPr>
          <w:rFonts w:hint="eastAsia" w:ascii="宋体" w:hAnsi="宋体" w:eastAsia="宋体" w:cs="宋体"/>
          <w:b/>
          <w:color w:val="000000" w:themeColor="text1"/>
          <w:shd w:val="clear" w:color="auto" w:fill="auto"/>
          <w14:textFill>
            <w14:solidFill>
              <w14:schemeClr w14:val="tx1"/>
            </w14:solidFill>
          </w14:textFill>
        </w:rPr>
        <w:t>经济部分</w:t>
      </w:r>
      <w:bookmarkEnd w:id="151"/>
      <w:bookmarkEnd w:id="152"/>
      <w:bookmarkEnd w:id="153"/>
      <w:bookmarkEnd w:id="154"/>
      <w:bookmarkEnd w:id="155"/>
      <w:bookmarkEnd w:id="156"/>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7"/>
    <w:bookmarkEnd w:id="158"/>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030018CD">
      <w:pPr>
        <w:spacing w:line="594" w:lineRule="exact"/>
        <w:ind w:right="560" w:firstLine="560" w:firstLineChars="200"/>
        <w:jc w:val="center"/>
        <w:rPr>
          <w:rFonts w:ascii="Times New Roman" w:hAnsi="Times New Roman" w:eastAsia="方正仿宋_GBK"/>
          <w:sz w:val="28"/>
          <w:szCs w:val="28"/>
        </w:rPr>
      </w:pPr>
      <w:bookmarkStart w:id="159" w:name="_Toc485108797"/>
      <w:bookmarkStart w:id="160" w:name="_Toc480979019"/>
      <w:bookmarkStart w:id="161" w:name="_Toc313888361"/>
      <w:bookmarkStart w:id="162" w:name="_Toc313008357"/>
      <w:bookmarkStart w:id="163" w:name="_Toc342913420"/>
      <w:bookmarkStart w:id="164" w:name="_Toc12908"/>
      <w:bookmarkStart w:id="165" w:name="_Toc9883"/>
      <w:r>
        <w:rPr>
          <w:rFonts w:ascii="Times New Roman" w:hAnsi="Times New Roman" w:eastAsia="方正仿宋_GBK"/>
          <w:sz w:val="28"/>
          <w:szCs w:val="28"/>
        </w:rPr>
        <w:t>报价表</w:t>
      </w:r>
    </w:p>
    <w:tbl>
      <w:tblPr>
        <w:tblStyle w:val="59"/>
        <w:tblW w:w="9371" w:type="dxa"/>
        <w:jc w:val="center"/>
        <w:tblLayout w:type="autofit"/>
        <w:tblCellMar>
          <w:top w:w="0" w:type="dxa"/>
          <w:left w:w="108" w:type="dxa"/>
          <w:bottom w:w="0" w:type="dxa"/>
          <w:right w:w="108" w:type="dxa"/>
        </w:tblCellMar>
      </w:tblPr>
      <w:tblGrid>
        <w:gridCol w:w="959"/>
        <w:gridCol w:w="3198"/>
        <w:gridCol w:w="1423"/>
        <w:gridCol w:w="1423"/>
        <w:gridCol w:w="1508"/>
        <w:gridCol w:w="860"/>
      </w:tblGrid>
      <w:tr w14:paraId="541EB74D">
        <w:tblPrEx>
          <w:tblCellMar>
            <w:top w:w="0" w:type="dxa"/>
            <w:left w:w="108" w:type="dxa"/>
            <w:bottom w:w="0" w:type="dxa"/>
            <w:right w:w="108" w:type="dxa"/>
          </w:tblCellMar>
        </w:tblPrEx>
        <w:trPr>
          <w:trHeight w:val="720" w:hRule="atLeast"/>
          <w:jc w:val="center"/>
        </w:trPr>
        <w:tc>
          <w:tcPr>
            <w:tcW w:w="95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522A443">
            <w:pPr>
              <w:widowControl/>
              <w:jc w:val="center"/>
              <w:rPr>
                <w:rFonts w:ascii="Times New Roman" w:hAnsi="Times New Roman"/>
                <w:color w:val="000000"/>
                <w:kern w:val="0"/>
                <w:sz w:val="22"/>
              </w:rPr>
            </w:pPr>
            <w:r>
              <w:rPr>
                <w:rFonts w:ascii="Times New Roman" w:hAnsi="Times New Roman"/>
                <w:color w:val="000000"/>
                <w:kern w:val="0"/>
                <w:sz w:val="22"/>
              </w:rPr>
              <w:t>序号</w:t>
            </w:r>
          </w:p>
        </w:tc>
        <w:tc>
          <w:tcPr>
            <w:tcW w:w="3198" w:type="dxa"/>
            <w:tcBorders>
              <w:top w:val="single" w:color="auto" w:sz="4" w:space="0"/>
              <w:left w:val="nil"/>
              <w:bottom w:val="single" w:color="auto" w:sz="4" w:space="0"/>
              <w:right w:val="single" w:color="auto" w:sz="4" w:space="0"/>
            </w:tcBorders>
            <w:shd w:val="clear" w:color="auto" w:fill="auto"/>
            <w:noWrap/>
            <w:vAlign w:val="center"/>
          </w:tcPr>
          <w:p w14:paraId="48996BFB">
            <w:pPr>
              <w:widowControl/>
              <w:jc w:val="center"/>
              <w:rPr>
                <w:rFonts w:ascii="Times New Roman" w:hAnsi="Times New Roman"/>
                <w:color w:val="000000"/>
                <w:kern w:val="0"/>
                <w:sz w:val="22"/>
              </w:rPr>
            </w:pPr>
            <w:r>
              <w:rPr>
                <w:rFonts w:ascii="Times New Roman" w:hAnsi="Times New Roman"/>
                <w:color w:val="000000"/>
                <w:kern w:val="0"/>
                <w:sz w:val="22"/>
              </w:rPr>
              <w:t>区域</w:t>
            </w:r>
          </w:p>
        </w:tc>
        <w:tc>
          <w:tcPr>
            <w:tcW w:w="1423" w:type="dxa"/>
            <w:tcBorders>
              <w:top w:val="single" w:color="auto" w:sz="4" w:space="0"/>
              <w:left w:val="nil"/>
              <w:bottom w:val="single" w:color="auto" w:sz="4" w:space="0"/>
              <w:right w:val="single" w:color="auto" w:sz="4" w:space="0"/>
            </w:tcBorders>
            <w:shd w:val="clear" w:color="auto" w:fill="auto"/>
            <w:noWrap/>
            <w:vAlign w:val="center"/>
          </w:tcPr>
          <w:p w14:paraId="5960485C">
            <w:pPr>
              <w:widowControl/>
              <w:jc w:val="center"/>
              <w:rPr>
                <w:rFonts w:ascii="Times New Roman" w:hAnsi="Times New Roman"/>
                <w:color w:val="000000"/>
                <w:kern w:val="0"/>
                <w:sz w:val="22"/>
              </w:rPr>
            </w:pPr>
            <w:r>
              <w:rPr>
                <w:rFonts w:ascii="Times New Roman" w:hAnsi="Times New Roman"/>
                <w:color w:val="000000"/>
                <w:kern w:val="0"/>
                <w:sz w:val="22"/>
              </w:rPr>
              <w:t>面积（</w:t>
            </w:r>
            <w:r>
              <w:rPr>
                <w:rFonts w:hint="eastAsia" w:ascii="Times New Roman" w:hAnsi="Times New Roman"/>
                <w:color w:val="000000"/>
                <w:kern w:val="0"/>
                <w:sz w:val="22"/>
              </w:rPr>
              <w:t>㎡</w:t>
            </w:r>
            <w:r>
              <w:rPr>
                <w:rFonts w:ascii="Times New Roman" w:hAnsi="Times New Roman"/>
                <w:color w:val="000000"/>
                <w:kern w:val="0"/>
                <w:sz w:val="22"/>
              </w:rPr>
              <w:t>）</w:t>
            </w:r>
          </w:p>
        </w:tc>
        <w:tc>
          <w:tcPr>
            <w:tcW w:w="1423" w:type="dxa"/>
            <w:tcBorders>
              <w:top w:val="single" w:color="auto" w:sz="4" w:space="0"/>
              <w:left w:val="nil"/>
              <w:bottom w:val="single" w:color="auto" w:sz="4" w:space="0"/>
              <w:right w:val="single" w:color="auto" w:sz="4" w:space="0"/>
            </w:tcBorders>
            <w:shd w:val="clear" w:color="auto" w:fill="auto"/>
            <w:vAlign w:val="center"/>
          </w:tcPr>
          <w:p w14:paraId="74B362CE">
            <w:pPr>
              <w:widowControl/>
              <w:jc w:val="center"/>
              <w:rPr>
                <w:rFonts w:ascii="Times New Roman" w:hAnsi="Times New Roman"/>
                <w:color w:val="000000"/>
                <w:kern w:val="0"/>
                <w:sz w:val="22"/>
              </w:rPr>
            </w:pPr>
            <w:r>
              <w:rPr>
                <w:rFonts w:ascii="Times New Roman" w:hAnsi="Times New Roman"/>
                <w:color w:val="000000"/>
                <w:kern w:val="0"/>
                <w:sz w:val="22"/>
              </w:rPr>
              <w:t>单价</w:t>
            </w:r>
            <w:r>
              <w:rPr>
                <w:rFonts w:ascii="Times New Roman" w:hAnsi="Times New Roman"/>
                <w:color w:val="000000"/>
                <w:kern w:val="0"/>
                <w:sz w:val="22"/>
              </w:rPr>
              <w:br w:type="textWrapping"/>
            </w:r>
            <w:r>
              <w:rPr>
                <w:rFonts w:ascii="Times New Roman" w:hAnsi="Times New Roman"/>
                <w:color w:val="000000"/>
                <w:kern w:val="0"/>
                <w:sz w:val="22"/>
              </w:rPr>
              <w:t>（元/</w:t>
            </w:r>
            <w:r>
              <w:rPr>
                <w:rFonts w:hint="eastAsia" w:ascii="Times New Roman" w:hAnsi="Times New Roman"/>
                <w:color w:val="000000"/>
                <w:kern w:val="0"/>
                <w:sz w:val="22"/>
              </w:rPr>
              <w:t>㎡</w:t>
            </w:r>
            <w:r>
              <w:rPr>
                <w:rFonts w:ascii="Times New Roman" w:hAnsi="Times New Roman"/>
                <w:color w:val="000000"/>
                <w:kern w:val="0"/>
                <w:sz w:val="22"/>
              </w:rPr>
              <w:t>）</w:t>
            </w:r>
          </w:p>
        </w:tc>
        <w:tc>
          <w:tcPr>
            <w:tcW w:w="1508" w:type="dxa"/>
            <w:tcBorders>
              <w:top w:val="single" w:color="auto" w:sz="4" w:space="0"/>
              <w:left w:val="nil"/>
              <w:bottom w:val="single" w:color="auto" w:sz="4" w:space="0"/>
              <w:right w:val="single" w:color="auto" w:sz="4" w:space="0"/>
            </w:tcBorders>
            <w:shd w:val="clear" w:color="auto" w:fill="auto"/>
            <w:noWrap/>
            <w:vAlign w:val="center"/>
          </w:tcPr>
          <w:p w14:paraId="7BFBAC01">
            <w:pPr>
              <w:widowControl/>
              <w:jc w:val="center"/>
              <w:rPr>
                <w:rFonts w:ascii="Times New Roman" w:hAnsi="Times New Roman"/>
                <w:color w:val="000000"/>
                <w:kern w:val="0"/>
                <w:sz w:val="22"/>
              </w:rPr>
            </w:pPr>
            <w:r>
              <w:rPr>
                <w:rFonts w:ascii="Times New Roman" w:hAnsi="Times New Roman"/>
                <w:color w:val="000000"/>
                <w:kern w:val="0"/>
                <w:sz w:val="22"/>
              </w:rPr>
              <w:t>小计（元）</w:t>
            </w:r>
          </w:p>
        </w:tc>
        <w:tc>
          <w:tcPr>
            <w:tcW w:w="860" w:type="dxa"/>
            <w:tcBorders>
              <w:top w:val="single" w:color="auto" w:sz="4" w:space="0"/>
              <w:left w:val="nil"/>
              <w:bottom w:val="single" w:color="auto" w:sz="4" w:space="0"/>
              <w:right w:val="single" w:color="auto" w:sz="4" w:space="0"/>
            </w:tcBorders>
            <w:shd w:val="clear" w:color="auto" w:fill="auto"/>
            <w:noWrap/>
            <w:vAlign w:val="center"/>
          </w:tcPr>
          <w:p w14:paraId="3EF9E213">
            <w:pPr>
              <w:widowControl/>
              <w:jc w:val="center"/>
              <w:rPr>
                <w:rFonts w:ascii="Times New Roman" w:hAnsi="Times New Roman"/>
                <w:color w:val="000000"/>
                <w:kern w:val="0"/>
                <w:sz w:val="22"/>
              </w:rPr>
            </w:pPr>
            <w:r>
              <w:rPr>
                <w:rFonts w:ascii="Times New Roman" w:hAnsi="Times New Roman"/>
                <w:color w:val="000000"/>
                <w:kern w:val="0"/>
                <w:sz w:val="22"/>
              </w:rPr>
              <w:t>备注</w:t>
            </w:r>
          </w:p>
        </w:tc>
      </w:tr>
      <w:tr w14:paraId="5CCD0669">
        <w:tblPrEx>
          <w:tblCellMar>
            <w:top w:w="0" w:type="dxa"/>
            <w:left w:w="108" w:type="dxa"/>
            <w:bottom w:w="0" w:type="dxa"/>
            <w:right w:w="108" w:type="dxa"/>
          </w:tblCellMar>
        </w:tblPrEx>
        <w:trPr>
          <w:trHeight w:val="615" w:hRule="atLeast"/>
          <w:jc w:val="center"/>
        </w:trPr>
        <w:tc>
          <w:tcPr>
            <w:tcW w:w="959" w:type="dxa"/>
            <w:tcBorders>
              <w:top w:val="nil"/>
              <w:left w:val="single" w:color="auto" w:sz="4" w:space="0"/>
              <w:bottom w:val="single" w:color="auto" w:sz="4" w:space="0"/>
              <w:right w:val="single" w:color="auto" w:sz="4" w:space="0"/>
            </w:tcBorders>
            <w:shd w:val="clear" w:color="auto" w:fill="auto"/>
            <w:noWrap/>
            <w:vAlign w:val="center"/>
          </w:tcPr>
          <w:p w14:paraId="1458C230">
            <w:pPr>
              <w:widowControl/>
              <w:jc w:val="center"/>
              <w:rPr>
                <w:rFonts w:ascii="Times New Roman" w:hAnsi="Times New Roman"/>
                <w:color w:val="000000"/>
                <w:kern w:val="0"/>
                <w:sz w:val="22"/>
              </w:rPr>
            </w:pPr>
            <w:r>
              <w:rPr>
                <w:rFonts w:ascii="Times New Roman" w:hAnsi="Times New Roman"/>
                <w:color w:val="000000"/>
                <w:kern w:val="0"/>
                <w:sz w:val="22"/>
              </w:rPr>
              <w:t>1</w:t>
            </w:r>
          </w:p>
        </w:tc>
        <w:tc>
          <w:tcPr>
            <w:tcW w:w="3198" w:type="dxa"/>
            <w:tcBorders>
              <w:top w:val="nil"/>
              <w:left w:val="nil"/>
              <w:bottom w:val="single" w:color="auto" w:sz="4" w:space="0"/>
              <w:right w:val="single" w:color="auto" w:sz="4" w:space="0"/>
            </w:tcBorders>
            <w:shd w:val="clear" w:color="auto" w:fill="auto"/>
            <w:noWrap/>
            <w:vAlign w:val="center"/>
          </w:tcPr>
          <w:p w14:paraId="6786B3AE">
            <w:pPr>
              <w:widowControl/>
              <w:jc w:val="center"/>
              <w:rPr>
                <w:rFonts w:ascii="Times New Roman" w:hAnsi="Times New Roman"/>
                <w:color w:val="000000"/>
                <w:kern w:val="0"/>
                <w:sz w:val="22"/>
              </w:rPr>
            </w:pPr>
            <w:r>
              <w:rPr>
                <w:rFonts w:ascii="Times New Roman" w:hAnsi="Times New Roman"/>
                <w:color w:val="000000"/>
                <w:kern w:val="0"/>
                <w:sz w:val="22"/>
              </w:rPr>
              <w:t>门诊病房综合楼</w:t>
            </w:r>
          </w:p>
        </w:tc>
        <w:tc>
          <w:tcPr>
            <w:tcW w:w="1423" w:type="dxa"/>
            <w:tcBorders>
              <w:top w:val="nil"/>
              <w:left w:val="nil"/>
              <w:bottom w:val="single" w:color="auto" w:sz="4" w:space="0"/>
              <w:right w:val="single" w:color="auto" w:sz="4" w:space="0"/>
            </w:tcBorders>
            <w:shd w:val="clear" w:color="auto" w:fill="auto"/>
            <w:noWrap/>
            <w:vAlign w:val="center"/>
          </w:tcPr>
          <w:p w14:paraId="72E23262">
            <w:pPr>
              <w:widowControl/>
              <w:jc w:val="center"/>
              <w:rPr>
                <w:rFonts w:ascii="Times New Roman" w:hAnsi="Times New Roman"/>
                <w:color w:val="000000"/>
                <w:kern w:val="0"/>
                <w:sz w:val="22"/>
              </w:rPr>
            </w:pPr>
            <w:r>
              <w:rPr>
                <w:rFonts w:ascii="Times New Roman" w:hAnsi="Times New Roman"/>
                <w:color w:val="000000"/>
                <w:kern w:val="0"/>
                <w:sz w:val="22"/>
              </w:rPr>
              <w:t>82940.62</w:t>
            </w:r>
          </w:p>
        </w:tc>
        <w:tc>
          <w:tcPr>
            <w:tcW w:w="1423" w:type="dxa"/>
            <w:tcBorders>
              <w:top w:val="nil"/>
              <w:left w:val="nil"/>
              <w:bottom w:val="single" w:color="auto" w:sz="4" w:space="0"/>
              <w:right w:val="single" w:color="auto" w:sz="4" w:space="0"/>
            </w:tcBorders>
            <w:shd w:val="clear" w:color="auto" w:fill="auto"/>
            <w:noWrap/>
            <w:vAlign w:val="center"/>
          </w:tcPr>
          <w:p w14:paraId="0801E9AC">
            <w:pPr>
              <w:widowControl/>
              <w:jc w:val="center"/>
              <w:rPr>
                <w:rFonts w:ascii="Times New Roman" w:hAnsi="Times New Roman"/>
                <w:color w:val="000000"/>
                <w:kern w:val="0"/>
                <w:sz w:val="22"/>
              </w:rPr>
            </w:pPr>
          </w:p>
        </w:tc>
        <w:tc>
          <w:tcPr>
            <w:tcW w:w="1508" w:type="dxa"/>
            <w:tcBorders>
              <w:top w:val="nil"/>
              <w:left w:val="nil"/>
              <w:bottom w:val="single" w:color="auto" w:sz="4" w:space="0"/>
              <w:right w:val="single" w:color="auto" w:sz="4" w:space="0"/>
            </w:tcBorders>
            <w:shd w:val="clear" w:color="auto" w:fill="auto"/>
            <w:noWrap/>
            <w:vAlign w:val="center"/>
          </w:tcPr>
          <w:p w14:paraId="50481A5E">
            <w:pPr>
              <w:widowControl/>
              <w:jc w:val="center"/>
              <w:rPr>
                <w:rFonts w:ascii="Times New Roman" w:hAnsi="Times New Roman"/>
                <w:color w:val="000000"/>
                <w:kern w:val="0"/>
                <w:sz w:val="22"/>
              </w:rPr>
            </w:pPr>
          </w:p>
        </w:tc>
        <w:tc>
          <w:tcPr>
            <w:tcW w:w="860" w:type="dxa"/>
            <w:tcBorders>
              <w:top w:val="nil"/>
              <w:left w:val="nil"/>
              <w:bottom w:val="single" w:color="auto" w:sz="4" w:space="0"/>
              <w:right w:val="single" w:color="auto" w:sz="4" w:space="0"/>
            </w:tcBorders>
            <w:shd w:val="clear" w:color="auto" w:fill="auto"/>
            <w:noWrap/>
            <w:vAlign w:val="bottom"/>
          </w:tcPr>
          <w:p w14:paraId="609D5D39">
            <w:pPr>
              <w:widowControl/>
              <w:jc w:val="left"/>
              <w:rPr>
                <w:rFonts w:ascii="Times New Roman" w:hAnsi="Times New Roman"/>
                <w:color w:val="000000"/>
                <w:kern w:val="0"/>
                <w:sz w:val="22"/>
              </w:rPr>
            </w:pPr>
            <w:r>
              <w:rPr>
                <w:rFonts w:ascii="Times New Roman" w:hAnsi="Times New Roman"/>
                <w:color w:val="000000"/>
                <w:kern w:val="0"/>
                <w:sz w:val="22"/>
              </w:rPr>
              <w:t>　</w:t>
            </w:r>
          </w:p>
        </w:tc>
      </w:tr>
      <w:tr w14:paraId="7DD5D99D">
        <w:tblPrEx>
          <w:tblCellMar>
            <w:top w:w="0" w:type="dxa"/>
            <w:left w:w="108" w:type="dxa"/>
            <w:bottom w:w="0" w:type="dxa"/>
            <w:right w:w="108" w:type="dxa"/>
          </w:tblCellMar>
        </w:tblPrEx>
        <w:trPr>
          <w:trHeight w:val="615" w:hRule="atLeast"/>
          <w:jc w:val="center"/>
        </w:trPr>
        <w:tc>
          <w:tcPr>
            <w:tcW w:w="959" w:type="dxa"/>
            <w:tcBorders>
              <w:top w:val="nil"/>
              <w:left w:val="single" w:color="auto" w:sz="4" w:space="0"/>
              <w:bottom w:val="single" w:color="auto" w:sz="4" w:space="0"/>
              <w:right w:val="single" w:color="auto" w:sz="4" w:space="0"/>
            </w:tcBorders>
            <w:shd w:val="clear" w:color="auto" w:fill="auto"/>
            <w:noWrap/>
            <w:vAlign w:val="center"/>
          </w:tcPr>
          <w:p w14:paraId="460683D3">
            <w:pPr>
              <w:widowControl/>
              <w:jc w:val="center"/>
              <w:rPr>
                <w:rFonts w:ascii="Times New Roman" w:hAnsi="Times New Roman"/>
                <w:color w:val="000000"/>
                <w:kern w:val="0"/>
                <w:sz w:val="22"/>
              </w:rPr>
            </w:pPr>
            <w:r>
              <w:rPr>
                <w:rFonts w:ascii="Times New Roman" w:hAnsi="Times New Roman"/>
                <w:color w:val="000000"/>
                <w:kern w:val="0"/>
                <w:sz w:val="22"/>
              </w:rPr>
              <w:t>2</w:t>
            </w:r>
          </w:p>
        </w:tc>
        <w:tc>
          <w:tcPr>
            <w:tcW w:w="3198" w:type="dxa"/>
            <w:tcBorders>
              <w:top w:val="nil"/>
              <w:left w:val="nil"/>
              <w:bottom w:val="single" w:color="auto" w:sz="4" w:space="0"/>
              <w:right w:val="single" w:color="auto" w:sz="4" w:space="0"/>
            </w:tcBorders>
            <w:shd w:val="clear" w:color="auto" w:fill="auto"/>
            <w:noWrap/>
            <w:vAlign w:val="center"/>
          </w:tcPr>
          <w:p w14:paraId="38CF5F62">
            <w:pPr>
              <w:widowControl/>
              <w:jc w:val="center"/>
              <w:rPr>
                <w:rFonts w:ascii="Times New Roman" w:hAnsi="Times New Roman"/>
                <w:color w:val="000000"/>
                <w:kern w:val="0"/>
                <w:sz w:val="22"/>
              </w:rPr>
            </w:pPr>
            <w:r>
              <w:rPr>
                <w:rFonts w:ascii="Times New Roman" w:hAnsi="Times New Roman"/>
                <w:color w:val="000000"/>
                <w:kern w:val="0"/>
                <w:sz w:val="22"/>
              </w:rPr>
              <w:t>发热门诊</w:t>
            </w:r>
          </w:p>
        </w:tc>
        <w:tc>
          <w:tcPr>
            <w:tcW w:w="1423" w:type="dxa"/>
            <w:tcBorders>
              <w:top w:val="nil"/>
              <w:left w:val="nil"/>
              <w:bottom w:val="single" w:color="auto" w:sz="4" w:space="0"/>
              <w:right w:val="single" w:color="auto" w:sz="4" w:space="0"/>
            </w:tcBorders>
            <w:shd w:val="clear" w:color="auto" w:fill="auto"/>
            <w:noWrap/>
            <w:vAlign w:val="center"/>
          </w:tcPr>
          <w:p w14:paraId="1D569DD1">
            <w:pPr>
              <w:widowControl/>
              <w:jc w:val="center"/>
              <w:rPr>
                <w:rFonts w:ascii="Times New Roman" w:hAnsi="Times New Roman"/>
                <w:color w:val="000000"/>
                <w:kern w:val="0"/>
                <w:sz w:val="22"/>
              </w:rPr>
            </w:pPr>
            <w:r>
              <w:rPr>
                <w:rFonts w:ascii="Times New Roman" w:hAnsi="Times New Roman"/>
                <w:color w:val="000000"/>
                <w:kern w:val="0"/>
                <w:sz w:val="22"/>
              </w:rPr>
              <w:t>1072.75</w:t>
            </w:r>
          </w:p>
        </w:tc>
        <w:tc>
          <w:tcPr>
            <w:tcW w:w="1423" w:type="dxa"/>
            <w:tcBorders>
              <w:top w:val="nil"/>
              <w:left w:val="nil"/>
              <w:bottom w:val="single" w:color="auto" w:sz="4" w:space="0"/>
              <w:right w:val="single" w:color="auto" w:sz="4" w:space="0"/>
            </w:tcBorders>
            <w:shd w:val="clear" w:color="auto" w:fill="auto"/>
            <w:noWrap/>
            <w:vAlign w:val="center"/>
          </w:tcPr>
          <w:p w14:paraId="238D2722">
            <w:pPr>
              <w:widowControl/>
              <w:jc w:val="center"/>
              <w:rPr>
                <w:rFonts w:ascii="Times New Roman" w:hAnsi="Times New Roman"/>
                <w:color w:val="000000"/>
                <w:kern w:val="0"/>
                <w:sz w:val="22"/>
              </w:rPr>
            </w:pPr>
          </w:p>
        </w:tc>
        <w:tc>
          <w:tcPr>
            <w:tcW w:w="1508" w:type="dxa"/>
            <w:tcBorders>
              <w:top w:val="nil"/>
              <w:left w:val="nil"/>
              <w:bottom w:val="single" w:color="auto" w:sz="4" w:space="0"/>
              <w:right w:val="single" w:color="auto" w:sz="4" w:space="0"/>
            </w:tcBorders>
            <w:shd w:val="clear" w:color="auto" w:fill="auto"/>
            <w:noWrap/>
            <w:vAlign w:val="center"/>
          </w:tcPr>
          <w:p w14:paraId="73B85157">
            <w:pPr>
              <w:widowControl/>
              <w:jc w:val="center"/>
              <w:rPr>
                <w:rFonts w:ascii="Times New Roman" w:hAnsi="Times New Roman"/>
                <w:color w:val="000000"/>
                <w:kern w:val="0"/>
                <w:sz w:val="22"/>
              </w:rPr>
            </w:pPr>
          </w:p>
        </w:tc>
        <w:tc>
          <w:tcPr>
            <w:tcW w:w="860" w:type="dxa"/>
            <w:tcBorders>
              <w:top w:val="nil"/>
              <w:left w:val="nil"/>
              <w:bottom w:val="single" w:color="auto" w:sz="4" w:space="0"/>
              <w:right w:val="single" w:color="auto" w:sz="4" w:space="0"/>
            </w:tcBorders>
            <w:shd w:val="clear" w:color="auto" w:fill="auto"/>
            <w:noWrap/>
            <w:vAlign w:val="bottom"/>
          </w:tcPr>
          <w:p w14:paraId="29B975EF">
            <w:pPr>
              <w:widowControl/>
              <w:jc w:val="left"/>
              <w:rPr>
                <w:rFonts w:ascii="Times New Roman" w:hAnsi="Times New Roman"/>
                <w:color w:val="000000"/>
                <w:kern w:val="0"/>
                <w:sz w:val="22"/>
              </w:rPr>
            </w:pPr>
            <w:r>
              <w:rPr>
                <w:rFonts w:ascii="Times New Roman" w:hAnsi="Times New Roman"/>
                <w:color w:val="000000"/>
                <w:kern w:val="0"/>
                <w:sz w:val="22"/>
              </w:rPr>
              <w:t>　</w:t>
            </w:r>
          </w:p>
        </w:tc>
      </w:tr>
      <w:tr w14:paraId="2782E594">
        <w:tblPrEx>
          <w:tblCellMar>
            <w:top w:w="0" w:type="dxa"/>
            <w:left w:w="108" w:type="dxa"/>
            <w:bottom w:w="0" w:type="dxa"/>
            <w:right w:w="108" w:type="dxa"/>
          </w:tblCellMar>
        </w:tblPrEx>
        <w:trPr>
          <w:trHeight w:val="615" w:hRule="atLeast"/>
          <w:jc w:val="center"/>
        </w:trPr>
        <w:tc>
          <w:tcPr>
            <w:tcW w:w="959" w:type="dxa"/>
            <w:tcBorders>
              <w:top w:val="nil"/>
              <w:left w:val="single" w:color="auto" w:sz="4" w:space="0"/>
              <w:bottom w:val="single" w:color="auto" w:sz="4" w:space="0"/>
              <w:right w:val="single" w:color="auto" w:sz="4" w:space="0"/>
            </w:tcBorders>
            <w:shd w:val="clear" w:color="auto" w:fill="auto"/>
            <w:noWrap/>
            <w:vAlign w:val="center"/>
          </w:tcPr>
          <w:p w14:paraId="7008014E">
            <w:pPr>
              <w:widowControl/>
              <w:jc w:val="center"/>
              <w:rPr>
                <w:rFonts w:ascii="Times New Roman" w:hAnsi="Times New Roman"/>
                <w:color w:val="000000"/>
                <w:kern w:val="0"/>
                <w:sz w:val="22"/>
              </w:rPr>
            </w:pPr>
            <w:r>
              <w:rPr>
                <w:rFonts w:ascii="Times New Roman" w:hAnsi="Times New Roman"/>
                <w:color w:val="000000"/>
                <w:kern w:val="0"/>
                <w:sz w:val="22"/>
              </w:rPr>
              <w:t>3</w:t>
            </w:r>
          </w:p>
        </w:tc>
        <w:tc>
          <w:tcPr>
            <w:tcW w:w="3198" w:type="dxa"/>
            <w:tcBorders>
              <w:top w:val="nil"/>
              <w:left w:val="nil"/>
              <w:bottom w:val="single" w:color="auto" w:sz="4" w:space="0"/>
              <w:right w:val="single" w:color="auto" w:sz="4" w:space="0"/>
            </w:tcBorders>
            <w:shd w:val="clear" w:color="auto" w:fill="auto"/>
            <w:noWrap/>
            <w:vAlign w:val="center"/>
          </w:tcPr>
          <w:p w14:paraId="0A9B8D8B">
            <w:pPr>
              <w:widowControl/>
              <w:jc w:val="center"/>
              <w:rPr>
                <w:rFonts w:ascii="Times New Roman" w:hAnsi="Times New Roman"/>
                <w:color w:val="000000"/>
                <w:kern w:val="0"/>
                <w:sz w:val="22"/>
              </w:rPr>
            </w:pPr>
            <w:r>
              <w:rPr>
                <w:rFonts w:ascii="Times New Roman" w:hAnsi="Times New Roman"/>
                <w:color w:val="000000"/>
                <w:kern w:val="0"/>
                <w:sz w:val="22"/>
              </w:rPr>
              <w:t>污水处理站、液氧站</w:t>
            </w:r>
          </w:p>
        </w:tc>
        <w:tc>
          <w:tcPr>
            <w:tcW w:w="1423" w:type="dxa"/>
            <w:tcBorders>
              <w:top w:val="nil"/>
              <w:left w:val="nil"/>
              <w:bottom w:val="single" w:color="auto" w:sz="4" w:space="0"/>
              <w:right w:val="single" w:color="auto" w:sz="4" w:space="0"/>
            </w:tcBorders>
            <w:shd w:val="clear" w:color="auto" w:fill="auto"/>
            <w:noWrap/>
            <w:vAlign w:val="center"/>
          </w:tcPr>
          <w:p w14:paraId="224477D9">
            <w:pPr>
              <w:widowControl/>
              <w:jc w:val="center"/>
              <w:rPr>
                <w:rFonts w:ascii="Times New Roman" w:hAnsi="Times New Roman"/>
                <w:color w:val="000000"/>
                <w:kern w:val="0"/>
                <w:sz w:val="22"/>
              </w:rPr>
            </w:pPr>
            <w:r>
              <w:rPr>
                <w:rFonts w:ascii="Times New Roman" w:hAnsi="Times New Roman"/>
                <w:color w:val="000000"/>
                <w:kern w:val="0"/>
                <w:sz w:val="22"/>
              </w:rPr>
              <w:t>620.88</w:t>
            </w:r>
          </w:p>
        </w:tc>
        <w:tc>
          <w:tcPr>
            <w:tcW w:w="1423" w:type="dxa"/>
            <w:tcBorders>
              <w:top w:val="nil"/>
              <w:left w:val="nil"/>
              <w:bottom w:val="single" w:color="auto" w:sz="4" w:space="0"/>
              <w:right w:val="single" w:color="auto" w:sz="4" w:space="0"/>
            </w:tcBorders>
            <w:shd w:val="clear" w:color="auto" w:fill="auto"/>
            <w:noWrap/>
            <w:vAlign w:val="center"/>
          </w:tcPr>
          <w:p w14:paraId="1B84BF1E">
            <w:pPr>
              <w:widowControl/>
              <w:jc w:val="center"/>
              <w:rPr>
                <w:rFonts w:ascii="Times New Roman" w:hAnsi="Times New Roman"/>
                <w:color w:val="000000"/>
                <w:kern w:val="0"/>
                <w:sz w:val="22"/>
              </w:rPr>
            </w:pPr>
          </w:p>
        </w:tc>
        <w:tc>
          <w:tcPr>
            <w:tcW w:w="1508" w:type="dxa"/>
            <w:tcBorders>
              <w:top w:val="nil"/>
              <w:left w:val="nil"/>
              <w:bottom w:val="single" w:color="auto" w:sz="4" w:space="0"/>
              <w:right w:val="single" w:color="auto" w:sz="4" w:space="0"/>
            </w:tcBorders>
            <w:shd w:val="clear" w:color="auto" w:fill="auto"/>
            <w:noWrap/>
            <w:vAlign w:val="center"/>
          </w:tcPr>
          <w:p w14:paraId="4F51ACB9">
            <w:pPr>
              <w:widowControl/>
              <w:jc w:val="center"/>
              <w:rPr>
                <w:rFonts w:ascii="Times New Roman" w:hAnsi="Times New Roman"/>
                <w:color w:val="000000"/>
                <w:kern w:val="0"/>
                <w:sz w:val="22"/>
              </w:rPr>
            </w:pPr>
          </w:p>
        </w:tc>
        <w:tc>
          <w:tcPr>
            <w:tcW w:w="860" w:type="dxa"/>
            <w:tcBorders>
              <w:top w:val="nil"/>
              <w:left w:val="nil"/>
              <w:bottom w:val="single" w:color="auto" w:sz="4" w:space="0"/>
              <w:right w:val="single" w:color="auto" w:sz="4" w:space="0"/>
            </w:tcBorders>
            <w:shd w:val="clear" w:color="auto" w:fill="auto"/>
            <w:noWrap/>
            <w:vAlign w:val="bottom"/>
          </w:tcPr>
          <w:p w14:paraId="2F4D2287">
            <w:pPr>
              <w:widowControl/>
              <w:jc w:val="left"/>
              <w:rPr>
                <w:rFonts w:ascii="Times New Roman" w:hAnsi="Times New Roman"/>
                <w:color w:val="000000"/>
                <w:kern w:val="0"/>
                <w:sz w:val="22"/>
              </w:rPr>
            </w:pPr>
            <w:r>
              <w:rPr>
                <w:rFonts w:ascii="Times New Roman" w:hAnsi="Times New Roman"/>
                <w:color w:val="000000"/>
                <w:kern w:val="0"/>
                <w:sz w:val="22"/>
              </w:rPr>
              <w:t>　</w:t>
            </w:r>
          </w:p>
        </w:tc>
      </w:tr>
      <w:tr w14:paraId="1741A124">
        <w:tblPrEx>
          <w:tblCellMar>
            <w:top w:w="0" w:type="dxa"/>
            <w:left w:w="108" w:type="dxa"/>
            <w:bottom w:w="0" w:type="dxa"/>
            <w:right w:w="108" w:type="dxa"/>
          </w:tblCellMar>
        </w:tblPrEx>
        <w:trPr>
          <w:trHeight w:val="615" w:hRule="atLeast"/>
          <w:jc w:val="center"/>
        </w:trPr>
        <w:tc>
          <w:tcPr>
            <w:tcW w:w="959" w:type="dxa"/>
            <w:tcBorders>
              <w:top w:val="nil"/>
              <w:left w:val="single" w:color="auto" w:sz="4" w:space="0"/>
              <w:bottom w:val="single" w:color="auto" w:sz="4" w:space="0"/>
              <w:right w:val="single" w:color="auto" w:sz="4" w:space="0"/>
            </w:tcBorders>
            <w:shd w:val="clear" w:color="auto" w:fill="auto"/>
            <w:noWrap/>
            <w:vAlign w:val="center"/>
          </w:tcPr>
          <w:p w14:paraId="245E4D06">
            <w:pPr>
              <w:widowControl/>
              <w:jc w:val="center"/>
              <w:rPr>
                <w:rFonts w:ascii="Times New Roman" w:hAnsi="Times New Roman"/>
                <w:color w:val="000000"/>
                <w:kern w:val="0"/>
                <w:sz w:val="22"/>
              </w:rPr>
            </w:pPr>
            <w:r>
              <w:rPr>
                <w:rFonts w:ascii="Times New Roman" w:hAnsi="Times New Roman"/>
                <w:color w:val="000000"/>
                <w:kern w:val="0"/>
                <w:sz w:val="22"/>
              </w:rPr>
              <w:t>4</w:t>
            </w:r>
          </w:p>
        </w:tc>
        <w:tc>
          <w:tcPr>
            <w:tcW w:w="3198" w:type="dxa"/>
            <w:tcBorders>
              <w:top w:val="nil"/>
              <w:left w:val="nil"/>
              <w:bottom w:val="single" w:color="auto" w:sz="4" w:space="0"/>
              <w:right w:val="single" w:color="auto" w:sz="4" w:space="0"/>
            </w:tcBorders>
            <w:shd w:val="clear" w:color="000000" w:fill="FFFFFF"/>
            <w:noWrap/>
            <w:vAlign w:val="center"/>
          </w:tcPr>
          <w:p w14:paraId="172C0AAA">
            <w:pPr>
              <w:widowControl/>
              <w:jc w:val="center"/>
              <w:rPr>
                <w:rFonts w:ascii="Times New Roman" w:hAnsi="Times New Roman"/>
                <w:color w:val="000000"/>
                <w:kern w:val="0"/>
                <w:sz w:val="22"/>
              </w:rPr>
            </w:pPr>
            <w:r>
              <w:rPr>
                <w:rFonts w:ascii="Times New Roman" w:hAnsi="Times New Roman"/>
                <w:color w:val="000000"/>
                <w:kern w:val="0"/>
                <w:sz w:val="22"/>
              </w:rPr>
              <w:t>教学部学生公寓</w:t>
            </w:r>
          </w:p>
        </w:tc>
        <w:tc>
          <w:tcPr>
            <w:tcW w:w="1423" w:type="dxa"/>
            <w:tcBorders>
              <w:top w:val="nil"/>
              <w:left w:val="nil"/>
              <w:bottom w:val="single" w:color="auto" w:sz="4" w:space="0"/>
              <w:right w:val="single" w:color="auto" w:sz="4" w:space="0"/>
            </w:tcBorders>
            <w:shd w:val="clear" w:color="000000" w:fill="FFFFFF"/>
            <w:noWrap/>
            <w:vAlign w:val="center"/>
          </w:tcPr>
          <w:p w14:paraId="24A9CABA">
            <w:pPr>
              <w:widowControl/>
              <w:jc w:val="center"/>
              <w:rPr>
                <w:rFonts w:ascii="Times New Roman" w:hAnsi="Times New Roman"/>
                <w:color w:val="000000"/>
                <w:kern w:val="0"/>
                <w:sz w:val="22"/>
              </w:rPr>
            </w:pPr>
            <w:r>
              <w:rPr>
                <w:rFonts w:ascii="Times New Roman" w:hAnsi="Times New Roman"/>
                <w:color w:val="000000"/>
                <w:kern w:val="0"/>
                <w:sz w:val="22"/>
              </w:rPr>
              <w:t>15736.18</w:t>
            </w:r>
          </w:p>
        </w:tc>
        <w:tc>
          <w:tcPr>
            <w:tcW w:w="1423" w:type="dxa"/>
            <w:tcBorders>
              <w:top w:val="nil"/>
              <w:left w:val="nil"/>
              <w:bottom w:val="single" w:color="auto" w:sz="4" w:space="0"/>
              <w:right w:val="single" w:color="auto" w:sz="4" w:space="0"/>
            </w:tcBorders>
            <w:shd w:val="clear" w:color="auto" w:fill="auto"/>
            <w:noWrap/>
            <w:vAlign w:val="center"/>
          </w:tcPr>
          <w:p w14:paraId="0EF59961">
            <w:pPr>
              <w:widowControl/>
              <w:jc w:val="center"/>
              <w:rPr>
                <w:rFonts w:ascii="Times New Roman" w:hAnsi="Times New Roman"/>
                <w:color w:val="000000"/>
                <w:kern w:val="0"/>
                <w:sz w:val="22"/>
              </w:rPr>
            </w:pPr>
          </w:p>
        </w:tc>
        <w:tc>
          <w:tcPr>
            <w:tcW w:w="1508" w:type="dxa"/>
            <w:tcBorders>
              <w:top w:val="nil"/>
              <w:left w:val="nil"/>
              <w:bottom w:val="single" w:color="auto" w:sz="4" w:space="0"/>
              <w:right w:val="single" w:color="auto" w:sz="4" w:space="0"/>
            </w:tcBorders>
            <w:shd w:val="clear" w:color="000000" w:fill="FFFFFF"/>
            <w:noWrap/>
            <w:vAlign w:val="center"/>
          </w:tcPr>
          <w:p w14:paraId="3208B402">
            <w:pPr>
              <w:widowControl/>
              <w:jc w:val="center"/>
              <w:rPr>
                <w:rFonts w:ascii="Times New Roman" w:hAnsi="Times New Roman"/>
                <w:color w:val="000000"/>
                <w:kern w:val="0"/>
                <w:sz w:val="22"/>
              </w:rPr>
            </w:pPr>
          </w:p>
        </w:tc>
        <w:tc>
          <w:tcPr>
            <w:tcW w:w="860" w:type="dxa"/>
            <w:tcBorders>
              <w:top w:val="nil"/>
              <w:left w:val="nil"/>
              <w:bottom w:val="single" w:color="auto" w:sz="4" w:space="0"/>
              <w:right w:val="single" w:color="auto" w:sz="4" w:space="0"/>
            </w:tcBorders>
            <w:shd w:val="clear" w:color="000000" w:fill="FFFFFF"/>
            <w:vAlign w:val="center"/>
          </w:tcPr>
          <w:p w14:paraId="0CF1CC59">
            <w:pPr>
              <w:widowControl/>
              <w:jc w:val="left"/>
              <w:rPr>
                <w:rFonts w:ascii="Times New Roman" w:hAnsi="Times New Roman"/>
                <w:color w:val="000000"/>
                <w:kern w:val="0"/>
                <w:sz w:val="22"/>
              </w:rPr>
            </w:pPr>
          </w:p>
        </w:tc>
      </w:tr>
      <w:tr w14:paraId="12699F82">
        <w:tblPrEx>
          <w:tblCellMar>
            <w:top w:w="0" w:type="dxa"/>
            <w:left w:w="108" w:type="dxa"/>
            <w:bottom w:w="0" w:type="dxa"/>
            <w:right w:w="108" w:type="dxa"/>
          </w:tblCellMar>
        </w:tblPrEx>
        <w:trPr>
          <w:trHeight w:val="615" w:hRule="atLeast"/>
          <w:jc w:val="center"/>
        </w:trPr>
        <w:tc>
          <w:tcPr>
            <w:tcW w:w="959" w:type="dxa"/>
            <w:tcBorders>
              <w:top w:val="nil"/>
              <w:left w:val="single" w:color="auto" w:sz="4" w:space="0"/>
              <w:bottom w:val="single" w:color="auto" w:sz="4" w:space="0"/>
              <w:right w:val="single" w:color="auto" w:sz="4" w:space="0"/>
            </w:tcBorders>
            <w:shd w:val="clear" w:color="auto" w:fill="auto"/>
            <w:noWrap/>
            <w:vAlign w:val="center"/>
          </w:tcPr>
          <w:p w14:paraId="6E166D59">
            <w:pPr>
              <w:widowControl/>
              <w:jc w:val="center"/>
              <w:rPr>
                <w:rFonts w:ascii="Times New Roman" w:hAnsi="Times New Roman"/>
                <w:color w:val="000000"/>
                <w:kern w:val="0"/>
                <w:sz w:val="22"/>
              </w:rPr>
            </w:pPr>
            <w:r>
              <w:rPr>
                <w:rFonts w:ascii="Times New Roman" w:hAnsi="Times New Roman"/>
                <w:color w:val="000000"/>
                <w:kern w:val="0"/>
                <w:sz w:val="22"/>
              </w:rPr>
              <w:t>5</w:t>
            </w:r>
          </w:p>
        </w:tc>
        <w:tc>
          <w:tcPr>
            <w:tcW w:w="3198" w:type="dxa"/>
            <w:tcBorders>
              <w:top w:val="nil"/>
              <w:left w:val="nil"/>
              <w:bottom w:val="single" w:color="auto" w:sz="4" w:space="0"/>
              <w:right w:val="single" w:color="auto" w:sz="4" w:space="0"/>
            </w:tcBorders>
            <w:shd w:val="clear" w:color="auto" w:fill="auto"/>
            <w:noWrap/>
            <w:vAlign w:val="center"/>
          </w:tcPr>
          <w:p w14:paraId="04A12AC7">
            <w:pPr>
              <w:widowControl/>
              <w:jc w:val="center"/>
              <w:rPr>
                <w:rFonts w:ascii="Times New Roman" w:hAnsi="Times New Roman"/>
                <w:color w:val="000000"/>
                <w:kern w:val="0"/>
                <w:sz w:val="22"/>
              </w:rPr>
            </w:pPr>
            <w:r>
              <w:rPr>
                <w:rFonts w:ascii="Times New Roman" w:hAnsi="Times New Roman"/>
                <w:color w:val="000000"/>
                <w:kern w:val="0"/>
                <w:sz w:val="22"/>
              </w:rPr>
              <w:t>D区车库及其他配套用房</w:t>
            </w:r>
          </w:p>
        </w:tc>
        <w:tc>
          <w:tcPr>
            <w:tcW w:w="1423" w:type="dxa"/>
            <w:tcBorders>
              <w:top w:val="nil"/>
              <w:left w:val="nil"/>
              <w:bottom w:val="single" w:color="auto" w:sz="4" w:space="0"/>
              <w:right w:val="single" w:color="auto" w:sz="4" w:space="0"/>
            </w:tcBorders>
            <w:shd w:val="clear" w:color="auto" w:fill="auto"/>
            <w:noWrap/>
            <w:vAlign w:val="center"/>
          </w:tcPr>
          <w:p w14:paraId="345D63F8">
            <w:pPr>
              <w:widowControl/>
              <w:jc w:val="center"/>
              <w:rPr>
                <w:rFonts w:ascii="Times New Roman" w:hAnsi="Times New Roman"/>
                <w:color w:val="000000"/>
                <w:kern w:val="0"/>
                <w:sz w:val="22"/>
              </w:rPr>
            </w:pPr>
            <w:r>
              <w:rPr>
                <w:rFonts w:ascii="Times New Roman" w:hAnsi="Times New Roman"/>
                <w:color w:val="000000"/>
                <w:kern w:val="0"/>
                <w:sz w:val="22"/>
              </w:rPr>
              <w:t>55211.92</w:t>
            </w:r>
          </w:p>
        </w:tc>
        <w:tc>
          <w:tcPr>
            <w:tcW w:w="1423" w:type="dxa"/>
            <w:tcBorders>
              <w:top w:val="nil"/>
              <w:left w:val="nil"/>
              <w:bottom w:val="single" w:color="auto" w:sz="4" w:space="0"/>
              <w:right w:val="single" w:color="auto" w:sz="4" w:space="0"/>
            </w:tcBorders>
            <w:shd w:val="clear" w:color="auto" w:fill="auto"/>
            <w:noWrap/>
            <w:vAlign w:val="center"/>
          </w:tcPr>
          <w:p w14:paraId="3CA95941">
            <w:pPr>
              <w:widowControl/>
              <w:jc w:val="center"/>
              <w:rPr>
                <w:rFonts w:ascii="Times New Roman" w:hAnsi="Times New Roman"/>
                <w:color w:val="000000"/>
                <w:kern w:val="0"/>
                <w:sz w:val="22"/>
              </w:rPr>
            </w:pPr>
          </w:p>
        </w:tc>
        <w:tc>
          <w:tcPr>
            <w:tcW w:w="1508" w:type="dxa"/>
            <w:tcBorders>
              <w:top w:val="nil"/>
              <w:left w:val="nil"/>
              <w:bottom w:val="single" w:color="auto" w:sz="4" w:space="0"/>
              <w:right w:val="single" w:color="auto" w:sz="4" w:space="0"/>
            </w:tcBorders>
            <w:shd w:val="clear" w:color="auto" w:fill="auto"/>
            <w:noWrap/>
            <w:vAlign w:val="center"/>
          </w:tcPr>
          <w:p w14:paraId="6F645F3B">
            <w:pPr>
              <w:widowControl/>
              <w:jc w:val="center"/>
              <w:rPr>
                <w:rFonts w:ascii="Times New Roman" w:hAnsi="Times New Roman"/>
                <w:color w:val="000000"/>
                <w:kern w:val="0"/>
                <w:sz w:val="22"/>
              </w:rPr>
            </w:pPr>
          </w:p>
        </w:tc>
        <w:tc>
          <w:tcPr>
            <w:tcW w:w="860" w:type="dxa"/>
            <w:tcBorders>
              <w:top w:val="nil"/>
              <w:left w:val="nil"/>
              <w:bottom w:val="single" w:color="auto" w:sz="4" w:space="0"/>
              <w:right w:val="single" w:color="auto" w:sz="4" w:space="0"/>
            </w:tcBorders>
            <w:shd w:val="clear" w:color="auto" w:fill="auto"/>
            <w:noWrap/>
            <w:vAlign w:val="bottom"/>
          </w:tcPr>
          <w:p w14:paraId="60DEE31C">
            <w:pPr>
              <w:widowControl/>
              <w:jc w:val="left"/>
              <w:rPr>
                <w:rFonts w:ascii="Times New Roman" w:hAnsi="Times New Roman"/>
                <w:color w:val="000000"/>
                <w:kern w:val="0"/>
                <w:sz w:val="22"/>
              </w:rPr>
            </w:pPr>
            <w:r>
              <w:rPr>
                <w:rFonts w:ascii="Times New Roman" w:hAnsi="Times New Roman"/>
                <w:color w:val="000000"/>
                <w:kern w:val="0"/>
                <w:sz w:val="22"/>
              </w:rPr>
              <w:t>　</w:t>
            </w:r>
          </w:p>
        </w:tc>
      </w:tr>
      <w:tr w14:paraId="550C61B4">
        <w:tblPrEx>
          <w:tblCellMar>
            <w:top w:w="0" w:type="dxa"/>
            <w:left w:w="108" w:type="dxa"/>
            <w:bottom w:w="0" w:type="dxa"/>
            <w:right w:w="108" w:type="dxa"/>
          </w:tblCellMar>
        </w:tblPrEx>
        <w:trPr>
          <w:trHeight w:val="615" w:hRule="atLeast"/>
          <w:jc w:val="center"/>
        </w:trPr>
        <w:tc>
          <w:tcPr>
            <w:tcW w:w="959" w:type="dxa"/>
            <w:tcBorders>
              <w:top w:val="nil"/>
              <w:left w:val="single" w:color="auto" w:sz="4" w:space="0"/>
              <w:bottom w:val="single" w:color="auto" w:sz="4" w:space="0"/>
              <w:right w:val="single" w:color="auto" w:sz="4" w:space="0"/>
            </w:tcBorders>
            <w:shd w:val="clear" w:color="auto" w:fill="auto"/>
            <w:noWrap/>
            <w:vAlign w:val="center"/>
          </w:tcPr>
          <w:p w14:paraId="4C4AFB75">
            <w:pPr>
              <w:widowControl/>
              <w:jc w:val="center"/>
              <w:rPr>
                <w:rFonts w:ascii="Times New Roman" w:hAnsi="Times New Roman"/>
                <w:color w:val="000000"/>
                <w:kern w:val="0"/>
                <w:sz w:val="22"/>
              </w:rPr>
            </w:pPr>
            <w:r>
              <w:rPr>
                <w:rFonts w:ascii="Times New Roman" w:hAnsi="Times New Roman"/>
                <w:color w:val="000000"/>
                <w:kern w:val="0"/>
                <w:sz w:val="22"/>
              </w:rPr>
              <w:t>6</w:t>
            </w:r>
          </w:p>
        </w:tc>
        <w:tc>
          <w:tcPr>
            <w:tcW w:w="3198" w:type="dxa"/>
            <w:tcBorders>
              <w:top w:val="nil"/>
              <w:left w:val="nil"/>
              <w:bottom w:val="single" w:color="auto" w:sz="4" w:space="0"/>
              <w:right w:val="single" w:color="auto" w:sz="4" w:space="0"/>
            </w:tcBorders>
            <w:shd w:val="clear" w:color="auto" w:fill="auto"/>
            <w:noWrap/>
            <w:vAlign w:val="center"/>
          </w:tcPr>
          <w:p w14:paraId="6C36BB61">
            <w:pPr>
              <w:widowControl/>
              <w:jc w:val="center"/>
              <w:rPr>
                <w:rFonts w:ascii="Times New Roman" w:hAnsi="Times New Roman"/>
                <w:color w:val="000000"/>
                <w:kern w:val="0"/>
                <w:sz w:val="22"/>
              </w:rPr>
            </w:pPr>
            <w:r>
              <w:rPr>
                <w:rFonts w:ascii="Times New Roman" w:hAnsi="Times New Roman"/>
                <w:color w:val="000000"/>
                <w:kern w:val="0"/>
                <w:sz w:val="22"/>
              </w:rPr>
              <w:t>教学部地下车库及设备用房</w:t>
            </w:r>
          </w:p>
        </w:tc>
        <w:tc>
          <w:tcPr>
            <w:tcW w:w="1423" w:type="dxa"/>
            <w:tcBorders>
              <w:top w:val="nil"/>
              <w:left w:val="nil"/>
              <w:bottom w:val="single" w:color="auto" w:sz="4" w:space="0"/>
              <w:right w:val="single" w:color="auto" w:sz="4" w:space="0"/>
            </w:tcBorders>
            <w:shd w:val="clear" w:color="auto" w:fill="auto"/>
            <w:noWrap/>
            <w:vAlign w:val="center"/>
          </w:tcPr>
          <w:p w14:paraId="589C07FD">
            <w:pPr>
              <w:widowControl/>
              <w:jc w:val="center"/>
              <w:rPr>
                <w:rFonts w:ascii="Times New Roman" w:hAnsi="Times New Roman"/>
                <w:color w:val="000000"/>
                <w:kern w:val="0"/>
                <w:sz w:val="22"/>
              </w:rPr>
            </w:pPr>
            <w:r>
              <w:rPr>
                <w:rFonts w:ascii="Times New Roman" w:hAnsi="Times New Roman"/>
                <w:color w:val="000000"/>
                <w:kern w:val="0"/>
                <w:sz w:val="22"/>
              </w:rPr>
              <w:t>14572.56</w:t>
            </w:r>
          </w:p>
        </w:tc>
        <w:tc>
          <w:tcPr>
            <w:tcW w:w="1423" w:type="dxa"/>
            <w:tcBorders>
              <w:top w:val="nil"/>
              <w:left w:val="nil"/>
              <w:bottom w:val="single" w:color="auto" w:sz="4" w:space="0"/>
              <w:right w:val="single" w:color="auto" w:sz="4" w:space="0"/>
            </w:tcBorders>
            <w:shd w:val="clear" w:color="auto" w:fill="auto"/>
            <w:noWrap/>
            <w:vAlign w:val="center"/>
          </w:tcPr>
          <w:p w14:paraId="1EC3C3DE">
            <w:pPr>
              <w:widowControl/>
              <w:jc w:val="center"/>
              <w:rPr>
                <w:rFonts w:ascii="Times New Roman" w:hAnsi="Times New Roman"/>
                <w:color w:val="000000"/>
                <w:kern w:val="0"/>
                <w:sz w:val="22"/>
              </w:rPr>
            </w:pPr>
          </w:p>
        </w:tc>
        <w:tc>
          <w:tcPr>
            <w:tcW w:w="1508" w:type="dxa"/>
            <w:tcBorders>
              <w:top w:val="nil"/>
              <w:left w:val="nil"/>
              <w:bottom w:val="single" w:color="auto" w:sz="4" w:space="0"/>
              <w:right w:val="single" w:color="auto" w:sz="4" w:space="0"/>
            </w:tcBorders>
            <w:shd w:val="clear" w:color="auto" w:fill="auto"/>
            <w:noWrap/>
            <w:vAlign w:val="center"/>
          </w:tcPr>
          <w:p w14:paraId="0E1E631A">
            <w:pPr>
              <w:widowControl/>
              <w:jc w:val="center"/>
              <w:rPr>
                <w:rFonts w:ascii="Times New Roman" w:hAnsi="Times New Roman"/>
                <w:color w:val="000000"/>
                <w:kern w:val="0"/>
                <w:sz w:val="22"/>
              </w:rPr>
            </w:pPr>
          </w:p>
        </w:tc>
        <w:tc>
          <w:tcPr>
            <w:tcW w:w="860" w:type="dxa"/>
            <w:tcBorders>
              <w:top w:val="nil"/>
              <w:left w:val="nil"/>
              <w:bottom w:val="single" w:color="auto" w:sz="4" w:space="0"/>
              <w:right w:val="single" w:color="auto" w:sz="4" w:space="0"/>
            </w:tcBorders>
            <w:shd w:val="clear" w:color="auto" w:fill="auto"/>
            <w:noWrap/>
            <w:vAlign w:val="bottom"/>
          </w:tcPr>
          <w:p w14:paraId="0BAD99AB">
            <w:pPr>
              <w:widowControl/>
              <w:jc w:val="left"/>
              <w:rPr>
                <w:rFonts w:ascii="Times New Roman" w:hAnsi="Times New Roman"/>
                <w:color w:val="000000"/>
                <w:kern w:val="0"/>
                <w:sz w:val="22"/>
              </w:rPr>
            </w:pPr>
            <w:r>
              <w:rPr>
                <w:rFonts w:ascii="Times New Roman" w:hAnsi="Times New Roman"/>
                <w:color w:val="000000"/>
                <w:kern w:val="0"/>
                <w:sz w:val="22"/>
              </w:rPr>
              <w:t>　</w:t>
            </w:r>
          </w:p>
        </w:tc>
      </w:tr>
      <w:tr w14:paraId="2725CE40">
        <w:tblPrEx>
          <w:tblCellMar>
            <w:top w:w="0" w:type="dxa"/>
            <w:left w:w="108" w:type="dxa"/>
            <w:bottom w:w="0" w:type="dxa"/>
            <w:right w:w="108" w:type="dxa"/>
          </w:tblCellMar>
        </w:tblPrEx>
        <w:trPr>
          <w:trHeight w:val="615" w:hRule="atLeast"/>
          <w:jc w:val="center"/>
        </w:trPr>
        <w:tc>
          <w:tcPr>
            <w:tcW w:w="7003" w:type="dxa"/>
            <w:gridSpan w:val="4"/>
            <w:tcBorders>
              <w:top w:val="nil"/>
              <w:left w:val="single" w:color="auto" w:sz="4" w:space="0"/>
              <w:bottom w:val="single" w:color="auto" w:sz="4" w:space="0"/>
              <w:right w:val="single" w:color="auto" w:sz="4" w:space="0"/>
            </w:tcBorders>
            <w:shd w:val="clear" w:color="auto" w:fill="auto"/>
            <w:noWrap/>
            <w:vAlign w:val="center"/>
          </w:tcPr>
          <w:p w14:paraId="2828C701">
            <w:pPr>
              <w:widowControl/>
              <w:jc w:val="center"/>
              <w:rPr>
                <w:rFonts w:ascii="Times New Roman" w:hAnsi="Times New Roman"/>
                <w:b/>
                <w:bCs/>
                <w:color w:val="000000"/>
                <w:kern w:val="0"/>
                <w:sz w:val="22"/>
              </w:rPr>
            </w:pPr>
            <w:r>
              <w:rPr>
                <w:rFonts w:ascii="Times New Roman" w:hAnsi="Times New Roman"/>
                <w:color w:val="000000"/>
                <w:kern w:val="0"/>
                <w:sz w:val="22"/>
              </w:rPr>
              <w:t>合计（元）</w:t>
            </w:r>
          </w:p>
        </w:tc>
        <w:tc>
          <w:tcPr>
            <w:tcW w:w="1508" w:type="dxa"/>
            <w:tcBorders>
              <w:top w:val="nil"/>
              <w:left w:val="nil"/>
              <w:bottom w:val="single" w:color="auto" w:sz="4" w:space="0"/>
              <w:right w:val="single" w:color="auto" w:sz="4" w:space="0"/>
            </w:tcBorders>
            <w:shd w:val="clear" w:color="auto" w:fill="auto"/>
            <w:noWrap/>
            <w:vAlign w:val="center"/>
          </w:tcPr>
          <w:p w14:paraId="17B904EC">
            <w:pPr>
              <w:widowControl/>
              <w:jc w:val="center"/>
              <w:rPr>
                <w:rFonts w:ascii="Times New Roman" w:hAnsi="Times New Roman"/>
                <w:b/>
                <w:bCs/>
                <w:color w:val="000000"/>
                <w:kern w:val="0"/>
                <w:sz w:val="22"/>
              </w:rPr>
            </w:pPr>
          </w:p>
        </w:tc>
        <w:tc>
          <w:tcPr>
            <w:tcW w:w="860" w:type="dxa"/>
            <w:tcBorders>
              <w:top w:val="nil"/>
              <w:left w:val="nil"/>
              <w:bottom w:val="single" w:color="auto" w:sz="4" w:space="0"/>
              <w:right w:val="single" w:color="auto" w:sz="4" w:space="0"/>
            </w:tcBorders>
            <w:shd w:val="clear" w:color="auto" w:fill="auto"/>
            <w:noWrap/>
            <w:vAlign w:val="bottom"/>
          </w:tcPr>
          <w:p w14:paraId="1F9A9ACD">
            <w:pPr>
              <w:widowControl/>
              <w:jc w:val="left"/>
              <w:rPr>
                <w:rFonts w:ascii="Times New Roman" w:hAnsi="Times New Roman"/>
                <w:b/>
                <w:bCs/>
                <w:color w:val="000000"/>
                <w:kern w:val="0"/>
                <w:sz w:val="22"/>
              </w:rPr>
            </w:pPr>
            <w:r>
              <w:rPr>
                <w:rFonts w:ascii="Times New Roman" w:hAnsi="Times New Roman"/>
                <w:b/>
                <w:bCs/>
                <w:color w:val="000000"/>
                <w:kern w:val="0"/>
                <w:sz w:val="22"/>
              </w:rPr>
              <w:t>　</w:t>
            </w:r>
          </w:p>
        </w:tc>
      </w:tr>
    </w:tbl>
    <w:p w14:paraId="633DBB00">
      <w:pPr>
        <w:tabs>
          <w:tab w:val="left" w:pos="1134"/>
        </w:tabs>
        <w:jc w:val="center"/>
        <w:rPr>
          <w:rFonts w:hint="eastAsia" w:ascii="黑体" w:hAnsi="黑体" w:eastAsia="黑体"/>
          <w:sz w:val="32"/>
          <w:szCs w:val="32"/>
        </w:rPr>
      </w:pPr>
    </w:p>
    <w:p w14:paraId="46420D74">
      <w:pPr>
        <w:spacing w:line="400" w:lineRule="exact"/>
        <w:ind w:firstLine="560" w:firstLineChars="200"/>
        <w:rPr>
          <w:rFonts w:hint="eastAsia" w:ascii="宋体" w:hAnsi="宋体" w:eastAsia="宋体" w:cs="宋体"/>
          <w:color w:val="FF0000"/>
          <w:sz w:val="24"/>
          <w:szCs w:val="24"/>
          <w:shd w:val="clear" w:color="auto" w:fill="auto"/>
          <w:lang w:eastAsia="zh-CN"/>
        </w:rPr>
      </w:pPr>
      <w:r>
        <w:rPr>
          <w:rFonts w:hint="eastAsia" w:ascii="宋体" w:hAnsi="宋体"/>
          <w:sz w:val="28"/>
          <w:szCs w:val="28"/>
        </w:rPr>
        <w:t>备注：</w:t>
      </w:r>
      <w:r>
        <w:rPr>
          <w:rFonts w:hint="eastAsia" w:ascii="宋体" w:hAnsi="宋体" w:eastAsia="宋体" w:cs="宋体"/>
          <w:color w:val="FF0000"/>
          <w:sz w:val="24"/>
          <w:szCs w:val="24"/>
          <w:shd w:val="clear" w:color="auto" w:fill="auto"/>
          <w:lang w:eastAsia="zh-CN"/>
        </w:rPr>
        <w:t>参选报</w:t>
      </w:r>
      <w:r>
        <w:rPr>
          <w:rFonts w:hint="eastAsia" w:ascii="宋体" w:hAnsi="宋体" w:eastAsia="宋体" w:cs="宋体"/>
          <w:color w:val="FF0000"/>
          <w:sz w:val="24"/>
          <w:szCs w:val="24"/>
          <w:shd w:val="clear" w:color="auto" w:fill="auto"/>
          <w:lang w:val="en-US" w:eastAsia="zh-CN"/>
        </w:rPr>
        <w:t>价为包干价，</w:t>
      </w:r>
      <w:r>
        <w:rPr>
          <w:rFonts w:hint="eastAsia" w:ascii="宋体" w:hAnsi="宋体" w:eastAsia="宋体" w:cs="宋体"/>
          <w:color w:val="FF0000"/>
          <w:sz w:val="24"/>
          <w:szCs w:val="24"/>
          <w:shd w:val="clear" w:color="auto" w:fill="auto"/>
          <w:lang w:eastAsia="zh-CN"/>
        </w:rPr>
        <w:t>包含但不限于服务费、物料费、保险费、税费等各项费用。</w:t>
      </w:r>
    </w:p>
    <w:p w14:paraId="297477C8">
      <w:pPr>
        <w:tabs>
          <w:tab w:val="left" w:pos="1134"/>
        </w:tabs>
        <w:jc w:val="center"/>
        <w:rPr>
          <w:rFonts w:hint="eastAsia" w:ascii="黑体" w:hAnsi="黑体" w:eastAsia="黑体"/>
          <w:sz w:val="32"/>
          <w:szCs w:val="32"/>
          <w:lang w:val="en-US" w:eastAsia="zh-CN"/>
        </w:rPr>
      </w:pPr>
    </w:p>
    <w:p w14:paraId="57CE5A31">
      <w:pPr>
        <w:tabs>
          <w:tab w:val="left" w:pos="1134"/>
        </w:tabs>
        <w:jc w:val="center"/>
        <w:rPr>
          <w:rFonts w:hint="eastAsia" w:ascii="黑体" w:hAnsi="黑体" w:eastAsia="黑体"/>
          <w:sz w:val="32"/>
          <w:szCs w:val="32"/>
          <w:lang w:val="en-US" w:eastAsia="zh-CN"/>
        </w:rPr>
      </w:pPr>
    </w:p>
    <w:p w14:paraId="065953EA">
      <w:pPr>
        <w:tabs>
          <w:tab w:val="left" w:pos="1134"/>
        </w:tabs>
        <w:jc w:val="center"/>
        <w:rPr>
          <w:rFonts w:hint="eastAsia" w:ascii="黑体" w:hAnsi="黑体" w:eastAsia="黑体"/>
          <w:sz w:val="32"/>
          <w:szCs w:val="32"/>
          <w:lang w:val="en-US" w:eastAsia="zh-CN"/>
        </w:rPr>
      </w:pPr>
    </w:p>
    <w:p w14:paraId="249C7754">
      <w:pPr>
        <w:tabs>
          <w:tab w:val="left" w:pos="1134"/>
        </w:tabs>
        <w:jc w:val="center"/>
        <w:rPr>
          <w:rFonts w:hint="eastAsia" w:ascii="黑体" w:hAnsi="黑体" w:eastAsia="黑体"/>
          <w:sz w:val="32"/>
          <w:szCs w:val="32"/>
          <w:lang w:val="en-US" w:eastAsia="zh-CN"/>
        </w:rPr>
      </w:pPr>
    </w:p>
    <w:p w14:paraId="4BF3F525">
      <w:pPr>
        <w:tabs>
          <w:tab w:val="left" w:pos="1134"/>
        </w:tabs>
        <w:jc w:val="center"/>
        <w:rPr>
          <w:rFonts w:hint="eastAsia" w:ascii="黑体" w:hAnsi="黑体" w:eastAsia="黑体"/>
          <w:sz w:val="32"/>
          <w:szCs w:val="32"/>
          <w:lang w:val="en-US" w:eastAsia="zh-CN"/>
        </w:rPr>
      </w:pPr>
    </w:p>
    <w:p w14:paraId="7667E69E">
      <w:pPr>
        <w:spacing w:line="500" w:lineRule="exact"/>
        <w:ind w:firstLine="4680" w:firstLineChars="1950"/>
        <w:rPr>
          <w:rFonts w:hint="eastAsia" w:ascii="宋体" w:hAnsi="宋体" w:eastAsia="宋体" w:cs="宋体"/>
          <w:color w:val="000000"/>
          <w:sz w:val="24"/>
          <w:szCs w:val="24"/>
        </w:rPr>
      </w:pPr>
      <w:r>
        <w:rPr>
          <w:rFonts w:hint="eastAsia" w:ascii="宋体" w:hAnsi="宋体" w:eastAsia="宋体" w:cs="宋体"/>
          <w:color w:val="000000"/>
          <w:sz w:val="24"/>
          <w:szCs w:val="24"/>
        </w:rPr>
        <w:t>供应商名称（公章）或自然人签署：</w:t>
      </w:r>
    </w:p>
    <w:p w14:paraId="3ADF4C3D">
      <w:pPr>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年     月     日</w:t>
      </w:r>
    </w:p>
    <w:p w14:paraId="506B6B9B">
      <w:pPr>
        <w:tabs>
          <w:tab w:val="left" w:pos="1134"/>
        </w:tabs>
        <w:jc w:val="center"/>
        <w:rPr>
          <w:rFonts w:hint="eastAsia" w:ascii="黑体" w:hAnsi="黑体" w:eastAsia="黑体"/>
          <w:sz w:val="32"/>
          <w:szCs w:val="32"/>
          <w:lang w:val="en-US" w:eastAsia="zh-CN"/>
        </w:rPr>
      </w:pPr>
    </w:p>
    <w:p w14:paraId="0376A2B4">
      <w:pPr>
        <w:tabs>
          <w:tab w:val="left" w:pos="1134"/>
        </w:tabs>
        <w:jc w:val="center"/>
        <w:rPr>
          <w:rFonts w:hint="eastAsia" w:ascii="黑体" w:hAnsi="黑体" w:eastAsia="黑体"/>
          <w:sz w:val="32"/>
          <w:szCs w:val="32"/>
          <w:lang w:val="en-US" w:eastAsia="zh-CN"/>
        </w:rPr>
      </w:pPr>
    </w:p>
    <w:p w14:paraId="0057DB95">
      <w:pPr>
        <w:tabs>
          <w:tab w:val="left" w:pos="1134"/>
        </w:tabs>
        <w:jc w:val="center"/>
        <w:rPr>
          <w:rFonts w:hint="eastAsia" w:ascii="黑体" w:hAnsi="黑体" w:eastAsia="黑体"/>
          <w:sz w:val="32"/>
          <w:szCs w:val="32"/>
          <w:lang w:val="en-US" w:eastAsia="zh-CN"/>
        </w:rPr>
      </w:pPr>
    </w:p>
    <w:p w14:paraId="3EC5CBD6">
      <w:pPr>
        <w:tabs>
          <w:tab w:val="left" w:pos="1134"/>
        </w:tabs>
        <w:jc w:val="center"/>
        <w:rPr>
          <w:rFonts w:hint="eastAsia" w:ascii="黑体" w:hAnsi="黑体" w:eastAsia="黑体"/>
          <w:sz w:val="32"/>
          <w:szCs w:val="32"/>
          <w:lang w:val="en-US" w:eastAsia="zh-CN"/>
        </w:rPr>
      </w:pPr>
    </w:p>
    <w:p w14:paraId="7ACB4073">
      <w:pPr>
        <w:tabs>
          <w:tab w:val="left" w:pos="1134"/>
        </w:tabs>
        <w:jc w:val="center"/>
        <w:rPr>
          <w:rFonts w:hint="eastAsia" w:ascii="黑体" w:hAnsi="黑体" w:eastAsia="黑体"/>
          <w:sz w:val="32"/>
          <w:szCs w:val="32"/>
          <w:lang w:val="en-US" w:eastAsia="zh-CN"/>
        </w:rPr>
      </w:pPr>
    </w:p>
    <w:p w14:paraId="189B6ABB">
      <w:pPr>
        <w:outlineLvl w:val="0"/>
        <w:rPr>
          <w:rFonts w:hint="eastAsia" w:ascii="宋体" w:hAnsi="宋体" w:eastAsia="宋体" w:cs="宋体"/>
          <w:b/>
          <w:color w:val="000000" w:themeColor="text1"/>
          <w:shd w:val="clear" w:color="auto" w:fill="auto"/>
          <w14:textFill>
            <w14:solidFill>
              <w14:schemeClr w14:val="tx1"/>
            </w14:solidFill>
          </w14:textFill>
        </w:rPr>
      </w:pPr>
    </w:p>
    <w:p w14:paraId="61213165">
      <w:pPr>
        <w:outlineLvl w:val="0"/>
        <w:rPr>
          <w:rFonts w:hint="eastAsia" w:ascii="宋体" w:hAnsi="宋体" w:eastAsia="宋体" w:cs="宋体"/>
          <w:b/>
          <w:color w:val="000000" w:themeColor="text1"/>
          <w:shd w:val="clear" w:color="auto" w:fill="auto"/>
          <w14:textFill>
            <w14:solidFill>
              <w14:schemeClr w14:val="tx1"/>
            </w14:solidFill>
          </w14:textFill>
        </w:rPr>
      </w:pPr>
    </w:p>
    <w:p w14:paraId="5934484F">
      <w:pPr>
        <w:outlineLvl w:val="0"/>
        <w:rPr>
          <w:rFonts w:hint="eastAsia" w:ascii="宋体" w:hAnsi="宋体" w:eastAsia="宋体" w:cs="宋体"/>
          <w:b/>
          <w:color w:val="000000" w:themeColor="text1"/>
          <w:shd w:val="clear" w:color="auto" w:fill="auto"/>
          <w14:textFill>
            <w14:solidFill>
              <w14:schemeClr w14:val="tx1"/>
            </w14:solidFill>
          </w14:textFill>
        </w:rPr>
      </w:pPr>
    </w:p>
    <w:p w14:paraId="67C13B17">
      <w:pPr>
        <w:outlineLvl w:val="0"/>
        <w:rPr>
          <w:rFonts w:hint="eastAsia" w:ascii="宋体" w:hAnsi="宋体" w:eastAsia="宋体" w:cs="宋体"/>
          <w:b/>
          <w:color w:val="000000" w:themeColor="text1"/>
          <w:shd w:val="clear" w:color="auto" w:fill="auto"/>
          <w14:textFill>
            <w14:solidFill>
              <w14:schemeClr w14:val="tx1"/>
            </w14:solidFill>
          </w14:textFill>
        </w:rPr>
      </w:pPr>
    </w:p>
    <w:p w14:paraId="2A450BFB">
      <w:pPr>
        <w:outlineLvl w:val="0"/>
        <w:rPr>
          <w:rFonts w:hint="eastAsia" w:ascii="宋体" w:hAnsi="宋体" w:eastAsia="宋体" w:cs="宋体"/>
          <w:b/>
          <w:color w:val="000000" w:themeColor="text1"/>
          <w:shd w:val="clear" w:color="auto" w:fill="auto"/>
          <w14:textFill>
            <w14:solidFill>
              <w14:schemeClr w14:val="tx1"/>
            </w14:solidFill>
          </w14:textFill>
        </w:rPr>
      </w:pPr>
    </w:p>
    <w:p w14:paraId="6FE2EF65">
      <w:pPr>
        <w:outlineLvl w:val="0"/>
        <w:rPr>
          <w:rFonts w:hint="eastAsia" w:ascii="宋体" w:hAnsi="宋体" w:eastAsia="宋体" w:cs="宋体"/>
          <w:b/>
          <w:color w:val="000000" w:themeColor="text1"/>
          <w:shd w:val="clear" w:color="auto" w:fill="auto"/>
          <w14:textFill>
            <w14:solidFill>
              <w14:schemeClr w14:val="tx1"/>
            </w14:solidFill>
          </w14:textFill>
        </w:rPr>
      </w:pPr>
    </w:p>
    <w:p w14:paraId="617AB6A8">
      <w:pPr>
        <w:pStyle w:val="15"/>
        <w:ind w:left="0" w:leftChars="0" w:firstLine="0" w:firstLineChars="0"/>
        <w:rPr>
          <w:rFonts w:hint="eastAsia"/>
        </w:rPr>
      </w:pP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59"/>
      <w:bookmarkEnd w:id="160"/>
      <w:bookmarkEnd w:id="161"/>
      <w:bookmarkEnd w:id="162"/>
      <w:bookmarkEnd w:id="163"/>
      <w:bookmarkEnd w:id="164"/>
      <w:bookmarkEnd w:id="165"/>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6" w:name="_Toc13844"/>
      <w:bookmarkStart w:id="167" w:name="_Toc485108798"/>
      <w:bookmarkStart w:id="168" w:name="_Toc480979020"/>
      <w:bookmarkStart w:id="169" w:name="_Toc342913421"/>
      <w:bookmarkStart w:id="170" w:name="_Toc313888362"/>
      <w:bookmarkStart w:id="171" w:name="_Toc15203"/>
      <w:bookmarkStart w:id="172" w:name="_Toc313008358"/>
      <w:r>
        <w:rPr>
          <w:rFonts w:hint="eastAsia" w:ascii="宋体" w:hAnsi="宋体" w:eastAsia="宋体" w:cs="宋体"/>
          <w:b/>
          <w:color w:val="000000" w:themeColor="text1"/>
          <w:shd w:val="clear" w:color="auto" w:fill="auto"/>
          <w14:textFill>
            <w14:solidFill>
              <w14:schemeClr w14:val="tx1"/>
            </w14:solidFill>
          </w14:textFill>
        </w:rPr>
        <w:t>三、商务部分</w:t>
      </w:r>
      <w:bookmarkEnd w:id="166"/>
      <w:bookmarkEnd w:id="167"/>
      <w:bookmarkEnd w:id="168"/>
      <w:bookmarkEnd w:id="169"/>
      <w:bookmarkEnd w:id="170"/>
      <w:bookmarkEnd w:id="171"/>
      <w:bookmarkEnd w:id="172"/>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3"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3"/>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4" w:name="_Toc10896"/>
      <w:bookmarkStart w:id="175"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4"/>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6"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6"/>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7" w:name="_Toc9941"/>
      <w:bookmarkStart w:id="178" w:name="_Toc23584"/>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7"/>
      <w:bookmarkEnd w:id="178"/>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5"/>
      <w:bookmarkStart w:id="179" w:name="_Toc313888363"/>
      <w:bookmarkStart w:id="180" w:name="_Toc313008359"/>
      <w:bookmarkStart w:id="181" w:name="_Toc342913422"/>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79"/>
      <w:bookmarkEnd w:id="180"/>
      <w:bookmarkEnd w:id="181"/>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2" w:name="OLE_LINK7"/>
      <w:bookmarkStart w:id="183" w:name="OLE_LINK4"/>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szCs w:val="24"/>
        </w:rPr>
        <w:br w:type="page"/>
      </w:r>
    </w:p>
    <w:bookmarkEnd w:id="182"/>
    <w:bookmarkEnd w:id="183"/>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4" w:name="_Toc27212"/>
      <w:bookmarkStart w:id="185" w:name="_Toc31463"/>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4"/>
    <w:bookmarkEnd w:id="185"/>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6"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6"/>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7"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7"/>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88"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88"/>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EF60766-5DF8-4F62-8F0C-AABB5E0B838D}"/>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2" w:fontKey="{D7272828-DF59-4396-95E9-D1DD58F3B3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5A3746"/>
    <w:rsid w:val="021D673F"/>
    <w:rsid w:val="024043A7"/>
    <w:rsid w:val="02D84414"/>
    <w:rsid w:val="02FE0C09"/>
    <w:rsid w:val="037759DB"/>
    <w:rsid w:val="03921202"/>
    <w:rsid w:val="039C4C1C"/>
    <w:rsid w:val="03BB3ADF"/>
    <w:rsid w:val="03C2134C"/>
    <w:rsid w:val="04DA26C6"/>
    <w:rsid w:val="04DE1E0F"/>
    <w:rsid w:val="04F00597"/>
    <w:rsid w:val="05AB6E25"/>
    <w:rsid w:val="05E64439"/>
    <w:rsid w:val="05E94CDF"/>
    <w:rsid w:val="060E092E"/>
    <w:rsid w:val="065A1406"/>
    <w:rsid w:val="067D7A0C"/>
    <w:rsid w:val="06A45EA9"/>
    <w:rsid w:val="06BC1BB0"/>
    <w:rsid w:val="074B1659"/>
    <w:rsid w:val="07911761"/>
    <w:rsid w:val="07C5765D"/>
    <w:rsid w:val="07F26429"/>
    <w:rsid w:val="084C34CD"/>
    <w:rsid w:val="08DA1A6E"/>
    <w:rsid w:val="094176DB"/>
    <w:rsid w:val="0983062E"/>
    <w:rsid w:val="0ACB5503"/>
    <w:rsid w:val="0ACF458A"/>
    <w:rsid w:val="0B6515A1"/>
    <w:rsid w:val="0B6F68C5"/>
    <w:rsid w:val="0BAE21B6"/>
    <w:rsid w:val="0BDC31C7"/>
    <w:rsid w:val="0BE1258C"/>
    <w:rsid w:val="0BE64970"/>
    <w:rsid w:val="0C033E70"/>
    <w:rsid w:val="0C3152C1"/>
    <w:rsid w:val="0C481EEF"/>
    <w:rsid w:val="0C56674E"/>
    <w:rsid w:val="0C931BB2"/>
    <w:rsid w:val="0C975B64"/>
    <w:rsid w:val="0C9D3992"/>
    <w:rsid w:val="0D32097D"/>
    <w:rsid w:val="0D7E5EAD"/>
    <w:rsid w:val="0DC167EC"/>
    <w:rsid w:val="0E0E625A"/>
    <w:rsid w:val="0E38674E"/>
    <w:rsid w:val="0E4D3D6E"/>
    <w:rsid w:val="0E5721EA"/>
    <w:rsid w:val="0E5A796A"/>
    <w:rsid w:val="0E5B5064"/>
    <w:rsid w:val="0E5B6625"/>
    <w:rsid w:val="0E9859A3"/>
    <w:rsid w:val="0E987B2D"/>
    <w:rsid w:val="0ECE4584"/>
    <w:rsid w:val="0F291536"/>
    <w:rsid w:val="0FAB0EE6"/>
    <w:rsid w:val="0FC701EB"/>
    <w:rsid w:val="0FCD0A4F"/>
    <w:rsid w:val="0FD61CDB"/>
    <w:rsid w:val="0FD8306F"/>
    <w:rsid w:val="0FFD1C5A"/>
    <w:rsid w:val="1014334F"/>
    <w:rsid w:val="10246EEB"/>
    <w:rsid w:val="10413B50"/>
    <w:rsid w:val="104D689B"/>
    <w:rsid w:val="109D57E0"/>
    <w:rsid w:val="10BA59BE"/>
    <w:rsid w:val="10BF5E9B"/>
    <w:rsid w:val="10D73071"/>
    <w:rsid w:val="111523FC"/>
    <w:rsid w:val="111C3A01"/>
    <w:rsid w:val="114A7245"/>
    <w:rsid w:val="11782A26"/>
    <w:rsid w:val="11E44902"/>
    <w:rsid w:val="13141499"/>
    <w:rsid w:val="131D034D"/>
    <w:rsid w:val="133C3066"/>
    <w:rsid w:val="134E0964"/>
    <w:rsid w:val="13633F56"/>
    <w:rsid w:val="13653AA2"/>
    <w:rsid w:val="13D52C1B"/>
    <w:rsid w:val="13F41DC8"/>
    <w:rsid w:val="144B1714"/>
    <w:rsid w:val="144D65A6"/>
    <w:rsid w:val="14B95EDB"/>
    <w:rsid w:val="14C6168E"/>
    <w:rsid w:val="14C6556D"/>
    <w:rsid w:val="14E12006"/>
    <w:rsid w:val="1554725E"/>
    <w:rsid w:val="15604521"/>
    <w:rsid w:val="156125ED"/>
    <w:rsid w:val="158D32E0"/>
    <w:rsid w:val="15D171CD"/>
    <w:rsid w:val="16243DF1"/>
    <w:rsid w:val="165A4E2F"/>
    <w:rsid w:val="17E52B34"/>
    <w:rsid w:val="18130842"/>
    <w:rsid w:val="184377B7"/>
    <w:rsid w:val="18465822"/>
    <w:rsid w:val="18675712"/>
    <w:rsid w:val="188B43F5"/>
    <w:rsid w:val="18E50010"/>
    <w:rsid w:val="18F71640"/>
    <w:rsid w:val="19394057"/>
    <w:rsid w:val="199C2358"/>
    <w:rsid w:val="19B7492C"/>
    <w:rsid w:val="19BC6C5B"/>
    <w:rsid w:val="1A511E59"/>
    <w:rsid w:val="1A705757"/>
    <w:rsid w:val="1AE4406F"/>
    <w:rsid w:val="1AE84C93"/>
    <w:rsid w:val="1B1D5FE3"/>
    <w:rsid w:val="1B484046"/>
    <w:rsid w:val="1B4A5E5B"/>
    <w:rsid w:val="1B925650"/>
    <w:rsid w:val="1C0025BA"/>
    <w:rsid w:val="1C66752D"/>
    <w:rsid w:val="1C6945DA"/>
    <w:rsid w:val="1CD22D64"/>
    <w:rsid w:val="1CED540D"/>
    <w:rsid w:val="1CF33ECD"/>
    <w:rsid w:val="1CF736B7"/>
    <w:rsid w:val="1D624A3F"/>
    <w:rsid w:val="1D632E00"/>
    <w:rsid w:val="1DD87EDC"/>
    <w:rsid w:val="1DDA4D59"/>
    <w:rsid w:val="1E570CBF"/>
    <w:rsid w:val="1E8652AA"/>
    <w:rsid w:val="1E9D4968"/>
    <w:rsid w:val="1EB13D33"/>
    <w:rsid w:val="1EEA6CFF"/>
    <w:rsid w:val="1F062593"/>
    <w:rsid w:val="1F08489B"/>
    <w:rsid w:val="1F2D0A6E"/>
    <w:rsid w:val="1F3A098C"/>
    <w:rsid w:val="1F3D23B3"/>
    <w:rsid w:val="1F6A74CC"/>
    <w:rsid w:val="1F6D6E4A"/>
    <w:rsid w:val="1F8009D9"/>
    <w:rsid w:val="1FCE723D"/>
    <w:rsid w:val="20084BEF"/>
    <w:rsid w:val="203372B2"/>
    <w:rsid w:val="204C6181"/>
    <w:rsid w:val="20FB0BC7"/>
    <w:rsid w:val="2114239C"/>
    <w:rsid w:val="216435EB"/>
    <w:rsid w:val="21C45BE8"/>
    <w:rsid w:val="21F678C9"/>
    <w:rsid w:val="21F94F0D"/>
    <w:rsid w:val="224F1BA5"/>
    <w:rsid w:val="22EF7055"/>
    <w:rsid w:val="231132FF"/>
    <w:rsid w:val="231E15DF"/>
    <w:rsid w:val="23743B1F"/>
    <w:rsid w:val="240C0392"/>
    <w:rsid w:val="24514D5A"/>
    <w:rsid w:val="24AB13E3"/>
    <w:rsid w:val="254D6667"/>
    <w:rsid w:val="25B67319"/>
    <w:rsid w:val="25B7688A"/>
    <w:rsid w:val="25B91E1A"/>
    <w:rsid w:val="25FF0C6B"/>
    <w:rsid w:val="26380176"/>
    <w:rsid w:val="26A440C8"/>
    <w:rsid w:val="26D56CF3"/>
    <w:rsid w:val="26FE2E6F"/>
    <w:rsid w:val="270827C3"/>
    <w:rsid w:val="271E4A07"/>
    <w:rsid w:val="275D539C"/>
    <w:rsid w:val="27B41749"/>
    <w:rsid w:val="27BE30B5"/>
    <w:rsid w:val="28031161"/>
    <w:rsid w:val="282105EF"/>
    <w:rsid w:val="282D107F"/>
    <w:rsid w:val="28377F6C"/>
    <w:rsid w:val="28580457"/>
    <w:rsid w:val="287535CD"/>
    <w:rsid w:val="28CD4235"/>
    <w:rsid w:val="28D01566"/>
    <w:rsid w:val="28E31299"/>
    <w:rsid w:val="293D6BFB"/>
    <w:rsid w:val="29430470"/>
    <w:rsid w:val="29A81CF0"/>
    <w:rsid w:val="2A0812C8"/>
    <w:rsid w:val="2B2C4917"/>
    <w:rsid w:val="2B3D6767"/>
    <w:rsid w:val="2B411C38"/>
    <w:rsid w:val="2B57565F"/>
    <w:rsid w:val="2BBD2276"/>
    <w:rsid w:val="2C812A23"/>
    <w:rsid w:val="2CDF621C"/>
    <w:rsid w:val="2CE02E81"/>
    <w:rsid w:val="2CF2794B"/>
    <w:rsid w:val="2D9073ED"/>
    <w:rsid w:val="2DDB0955"/>
    <w:rsid w:val="2DDE0220"/>
    <w:rsid w:val="2E454084"/>
    <w:rsid w:val="2E4A05E4"/>
    <w:rsid w:val="2E6141F3"/>
    <w:rsid w:val="2F124686"/>
    <w:rsid w:val="2F1F1F02"/>
    <w:rsid w:val="2F2348BD"/>
    <w:rsid w:val="2F486DA5"/>
    <w:rsid w:val="2F6F1AD9"/>
    <w:rsid w:val="2F831DB2"/>
    <w:rsid w:val="2F943FCB"/>
    <w:rsid w:val="2FD06C0B"/>
    <w:rsid w:val="30381B81"/>
    <w:rsid w:val="30A44277"/>
    <w:rsid w:val="30B15F03"/>
    <w:rsid w:val="30B30136"/>
    <w:rsid w:val="30CD7D7B"/>
    <w:rsid w:val="310B1BDB"/>
    <w:rsid w:val="31CA4358"/>
    <w:rsid w:val="31FA7479"/>
    <w:rsid w:val="32050A97"/>
    <w:rsid w:val="32284BF5"/>
    <w:rsid w:val="324E4259"/>
    <w:rsid w:val="32A510F7"/>
    <w:rsid w:val="32DA1DD4"/>
    <w:rsid w:val="33127B8D"/>
    <w:rsid w:val="33323C73"/>
    <w:rsid w:val="3361798A"/>
    <w:rsid w:val="33861085"/>
    <w:rsid w:val="33CA5BAD"/>
    <w:rsid w:val="34311909"/>
    <w:rsid w:val="34477E1A"/>
    <w:rsid w:val="34B44507"/>
    <w:rsid w:val="35687566"/>
    <w:rsid w:val="35B15F88"/>
    <w:rsid w:val="35D501BC"/>
    <w:rsid w:val="35E87A5C"/>
    <w:rsid w:val="3608331B"/>
    <w:rsid w:val="36382C0F"/>
    <w:rsid w:val="36834056"/>
    <w:rsid w:val="369E4A52"/>
    <w:rsid w:val="36A73740"/>
    <w:rsid w:val="36C3312C"/>
    <w:rsid w:val="36EC0B56"/>
    <w:rsid w:val="37174BEB"/>
    <w:rsid w:val="37542B62"/>
    <w:rsid w:val="375A306E"/>
    <w:rsid w:val="37D83F93"/>
    <w:rsid w:val="382D2437"/>
    <w:rsid w:val="38442273"/>
    <w:rsid w:val="384E006D"/>
    <w:rsid w:val="385D0EF3"/>
    <w:rsid w:val="387D36CA"/>
    <w:rsid w:val="389536A9"/>
    <w:rsid w:val="38C010B0"/>
    <w:rsid w:val="38E86458"/>
    <w:rsid w:val="38EB2B69"/>
    <w:rsid w:val="391C67AE"/>
    <w:rsid w:val="39486CC3"/>
    <w:rsid w:val="39A3534F"/>
    <w:rsid w:val="39D65068"/>
    <w:rsid w:val="39FC3E15"/>
    <w:rsid w:val="3AA25DEC"/>
    <w:rsid w:val="3AC648F5"/>
    <w:rsid w:val="3B30241A"/>
    <w:rsid w:val="3B5B756F"/>
    <w:rsid w:val="3B870893"/>
    <w:rsid w:val="3BA13299"/>
    <w:rsid w:val="3C4F6F1A"/>
    <w:rsid w:val="3D2F290C"/>
    <w:rsid w:val="3D3375F0"/>
    <w:rsid w:val="3D4C1E7B"/>
    <w:rsid w:val="3D6E2990"/>
    <w:rsid w:val="3D79508E"/>
    <w:rsid w:val="3DC21444"/>
    <w:rsid w:val="3DD60FEB"/>
    <w:rsid w:val="3E263CAA"/>
    <w:rsid w:val="3E491747"/>
    <w:rsid w:val="3E6B192F"/>
    <w:rsid w:val="3EA55BAC"/>
    <w:rsid w:val="3EEF12C4"/>
    <w:rsid w:val="3F150346"/>
    <w:rsid w:val="3F19442F"/>
    <w:rsid w:val="3F4757B8"/>
    <w:rsid w:val="3F4A029A"/>
    <w:rsid w:val="3F4E528D"/>
    <w:rsid w:val="3F591E5E"/>
    <w:rsid w:val="3F5A6C6F"/>
    <w:rsid w:val="3F7A393A"/>
    <w:rsid w:val="3FC45529"/>
    <w:rsid w:val="3FE1690B"/>
    <w:rsid w:val="40113C23"/>
    <w:rsid w:val="40351638"/>
    <w:rsid w:val="403F2E01"/>
    <w:rsid w:val="404A2E64"/>
    <w:rsid w:val="40AB0EC9"/>
    <w:rsid w:val="40C2612C"/>
    <w:rsid w:val="40E52488"/>
    <w:rsid w:val="41007A8F"/>
    <w:rsid w:val="415869FC"/>
    <w:rsid w:val="41670862"/>
    <w:rsid w:val="41AB14E8"/>
    <w:rsid w:val="41AC0B4D"/>
    <w:rsid w:val="41D4500D"/>
    <w:rsid w:val="41D67141"/>
    <w:rsid w:val="41DD2651"/>
    <w:rsid w:val="41F534A6"/>
    <w:rsid w:val="41F5463E"/>
    <w:rsid w:val="42030507"/>
    <w:rsid w:val="420A020E"/>
    <w:rsid w:val="420A1906"/>
    <w:rsid w:val="423F7EC6"/>
    <w:rsid w:val="42720834"/>
    <w:rsid w:val="428345E9"/>
    <w:rsid w:val="429D5EC0"/>
    <w:rsid w:val="42A40896"/>
    <w:rsid w:val="42A86289"/>
    <w:rsid w:val="42BD50C4"/>
    <w:rsid w:val="437470EA"/>
    <w:rsid w:val="437C12A7"/>
    <w:rsid w:val="43F81C45"/>
    <w:rsid w:val="441F4671"/>
    <w:rsid w:val="442E465D"/>
    <w:rsid w:val="444565A3"/>
    <w:rsid w:val="447A6AFE"/>
    <w:rsid w:val="44B9673B"/>
    <w:rsid w:val="4517170E"/>
    <w:rsid w:val="45AC0F39"/>
    <w:rsid w:val="461B60BF"/>
    <w:rsid w:val="46C96141"/>
    <w:rsid w:val="46D06FAA"/>
    <w:rsid w:val="475461C4"/>
    <w:rsid w:val="477A0BC3"/>
    <w:rsid w:val="47D41743"/>
    <w:rsid w:val="47D63DB2"/>
    <w:rsid w:val="47F3755A"/>
    <w:rsid w:val="482B71EF"/>
    <w:rsid w:val="48447281"/>
    <w:rsid w:val="487D04F4"/>
    <w:rsid w:val="48912668"/>
    <w:rsid w:val="48A31EA1"/>
    <w:rsid w:val="48D90D59"/>
    <w:rsid w:val="48E11FE9"/>
    <w:rsid w:val="48FA020D"/>
    <w:rsid w:val="492C6FBB"/>
    <w:rsid w:val="499D1F70"/>
    <w:rsid w:val="4A1025A8"/>
    <w:rsid w:val="4A832C17"/>
    <w:rsid w:val="4A9100D0"/>
    <w:rsid w:val="4AC26B09"/>
    <w:rsid w:val="4AD056CA"/>
    <w:rsid w:val="4AD41B9B"/>
    <w:rsid w:val="4AED1C9D"/>
    <w:rsid w:val="4B597B89"/>
    <w:rsid w:val="4B5F135F"/>
    <w:rsid w:val="4BE8259F"/>
    <w:rsid w:val="4C025EBB"/>
    <w:rsid w:val="4C4E289A"/>
    <w:rsid w:val="4CC56D84"/>
    <w:rsid w:val="4DBE5CAD"/>
    <w:rsid w:val="4DD75684"/>
    <w:rsid w:val="4E0D2518"/>
    <w:rsid w:val="4E231003"/>
    <w:rsid w:val="4E3873B7"/>
    <w:rsid w:val="4EB765EE"/>
    <w:rsid w:val="4EF70D4B"/>
    <w:rsid w:val="4F2E0C11"/>
    <w:rsid w:val="4F79418A"/>
    <w:rsid w:val="50472E90"/>
    <w:rsid w:val="50A2078E"/>
    <w:rsid w:val="50B9275C"/>
    <w:rsid w:val="50F72CC9"/>
    <w:rsid w:val="50FE286B"/>
    <w:rsid w:val="514069D9"/>
    <w:rsid w:val="51932220"/>
    <w:rsid w:val="51BC0756"/>
    <w:rsid w:val="51D276BD"/>
    <w:rsid w:val="51D77CAA"/>
    <w:rsid w:val="51DB1B67"/>
    <w:rsid w:val="52173BDE"/>
    <w:rsid w:val="522135A2"/>
    <w:rsid w:val="5228244C"/>
    <w:rsid w:val="526D5211"/>
    <w:rsid w:val="529620AE"/>
    <w:rsid w:val="52EB291F"/>
    <w:rsid w:val="52ED493F"/>
    <w:rsid w:val="52F55822"/>
    <w:rsid w:val="531F0FF7"/>
    <w:rsid w:val="53A83AF6"/>
    <w:rsid w:val="53B56AAB"/>
    <w:rsid w:val="53E03D6D"/>
    <w:rsid w:val="53E144A4"/>
    <w:rsid w:val="54333CD5"/>
    <w:rsid w:val="546107D9"/>
    <w:rsid w:val="546E506B"/>
    <w:rsid w:val="549E2395"/>
    <w:rsid w:val="55297C80"/>
    <w:rsid w:val="5531155E"/>
    <w:rsid w:val="565C7750"/>
    <w:rsid w:val="56644F18"/>
    <w:rsid w:val="56A12956"/>
    <w:rsid w:val="56C54297"/>
    <w:rsid w:val="56DB047F"/>
    <w:rsid w:val="56FE5BF2"/>
    <w:rsid w:val="56FF2E93"/>
    <w:rsid w:val="57100988"/>
    <w:rsid w:val="576D5122"/>
    <w:rsid w:val="58506377"/>
    <w:rsid w:val="586259DC"/>
    <w:rsid w:val="58625BCC"/>
    <w:rsid w:val="58627B7D"/>
    <w:rsid w:val="58B574EB"/>
    <w:rsid w:val="58CE04C7"/>
    <w:rsid w:val="58FC1D80"/>
    <w:rsid w:val="593509FB"/>
    <w:rsid w:val="59893E96"/>
    <w:rsid w:val="599D432B"/>
    <w:rsid w:val="59E56370"/>
    <w:rsid w:val="5A12625C"/>
    <w:rsid w:val="5B1E275D"/>
    <w:rsid w:val="5B3E21DC"/>
    <w:rsid w:val="5B4A5024"/>
    <w:rsid w:val="5BBD57F6"/>
    <w:rsid w:val="5BC414F3"/>
    <w:rsid w:val="5C953453"/>
    <w:rsid w:val="5CAE15E3"/>
    <w:rsid w:val="5CB84A88"/>
    <w:rsid w:val="5CDA4186"/>
    <w:rsid w:val="5D290C69"/>
    <w:rsid w:val="5D351BF3"/>
    <w:rsid w:val="5DEE479F"/>
    <w:rsid w:val="5E254884"/>
    <w:rsid w:val="5E36741C"/>
    <w:rsid w:val="5E407DA6"/>
    <w:rsid w:val="5F3F2DAC"/>
    <w:rsid w:val="5F4829DC"/>
    <w:rsid w:val="5F714A03"/>
    <w:rsid w:val="5F725BF8"/>
    <w:rsid w:val="5F8301BD"/>
    <w:rsid w:val="5FB15C3A"/>
    <w:rsid w:val="5FDF26F7"/>
    <w:rsid w:val="5FEC0FE5"/>
    <w:rsid w:val="6022194E"/>
    <w:rsid w:val="60570E4A"/>
    <w:rsid w:val="606E5CB4"/>
    <w:rsid w:val="60980BFD"/>
    <w:rsid w:val="60D65D3F"/>
    <w:rsid w:val="60F4333C"/>
    <w:rsid w:val="60F85618"/>
    <w:rsid w:val="610B5004"/>
    <w:rsid w:val="611A50B4"/>
    <w:rsid w:val="619C43F3"/>
    <w:rsid w:val="620C3F91"/>
    <w:rsid w:val="6269072D"/>
    <w:rsid w:val="62A30CCB"/>
    <w:rsid w:val="62F24507"/>
    <w:rsid w:val="6352606D"/>
    <w:rsid w:val="639436E3"/>
    <w:rsid w:val="6445282D"/>
    <w:rsid w:val="645A13DB"/>
    <w:rsid w:val="64607B1A"/>
    <w:rsid w:val="648C045C"/>
    <w:rsid w:val="64A83BDE"/>
    <w:rsid w:val="6567664A"/>
    <w:rsid w:val="656A40F1"/>
    <w:rsid w:val="658C5E23"/>
    <w:rsid w:val="65F9363E"/>
    <w:rsid w:val="66287D10"/>
    <w:rsid w:val="66747376"/>
    <w:rsid w:val="667E25AF"/>
    <w:rsid w:val="66815672"/>
    <w:rsid w:val="67042ACB"/>
    <w:rsid w:val="67152E14"/>
    <w:rsid w:val="67770DF7"/>
    <w:rsid w:val="679C27B9"/>
    <w:rsid w:val="67C21399"/>
    <w:rsid w:val="67CB3049"/>
    <w:rsid w:val="67FF2A16"/>
    <w:rsid w:val="682465CF"/>
    <w:rsid w:val="68EA74FF"/>
    <w:rsid w:val="690814B0"/>
    <w:rsid w:val="694638B9"/>
    <w:rsid w:val="6972525B"/>
    <w:rsid w:val="69C211FB"/>
    <w:rsid w:val="69DF5AEA"/>
    <w:rsid w:val="69FC5E8B"/>
    <w:rsid w:val="6A16113C"/>
    <w:rsid w:val="6A777B3A"/>
    <w:rsid w:val="6AD14E1A"/>
    <w:rsid w:val="6AE1793A"/>
    <w:rsid w:val="6B056872"/>
    <w:rsid w:val="6B1765A5"/>
    <w:rsid w:val="6B217424"/>
    <w:rsid w:val="6B28360F"/>
    <w:rsid w:val="6B9F4D55"/>
    <w:rsid w:val="6BAA3DD9"/>
    <w:rsid w:val="6C172D01"/>
    <w:rsid w:val="6C5B0433"/>
    <w:rsid w:val="6CC21278"/>
    <w:rsid w:val="6CC2767B"/>
    <w:rsid w:val="6CEE14EE"/>
    <w:rsid w:val="6D342244"/>
    <w:rsid w:val="6DAB4CCB"/>
    <w:rsid w:val="6DC70D5C"/>
    <w:rsid w:val="6DDA24A1"/>
    <w:rsid w:val="6DE53C17"/>
    <w:rsid w:val="6DFC3BBF"/>
    <w:rsid w:val="6E0E1C83"/>
    <w:rsid w:val="6E45126B"/>
    <w:rsid w:val="6EA047F7"/>
    <w:rsid w:val="6EFB5292"/>
    <w:rsid w:val="6F062BB9"/>
    <w:rsid w:val="6F185329"/>
    <w:rsid w:val="6F213E8F"/>
    <w:rsid w:val="70783234"/>
    <w:rsid w:val="70E64A50"/>
    <w:rsid w:val="710A408D"/>
    <w:rsid w:val="71231A63"/>
    <w:rsid w:val="714B6E37"/>
    <w:rsid w:val="71C72BEE"/>
    <w:rsid w:val="72AA2579"/>
    <w:rsid w:val="73614D85"/>
    <w:rsid w:val="7363682B"/>
    <w:rsid w:val="7363763C"/>
    <w:rsid w:val="739465A0"/>
    <w:rsid w:val="73A82490"/>
    <w:rsid w:val="73AA3664"/>
    <w:rsid w:val="73B34AD5"/>
    <w:rsid w:val="73D42B6E"/>
    <w:rsid w:val="743B3E3F"/>
    <w:rsid w:val="74E41D61"/>
    <w:rsid w:val="75F575B2"/>
    <w:rsid w:val="76091A04"/>
    <w:rsid w:val="7654465A"/>
    <w:rsid w:val="765A00C6"/>
    <w:rsid w:val="76995E63"/>
    <w:rsid w:val="771315E4"/>
    <w:rsid w:val="772335FF"/>
    <w:rsid w:val="7733287E"/>
    <w:rsid w:val="77452BA0"/>
    <w:rsid w:val="774923FD"/>
    <w:rsid w:val="777E28EC"/>
    <w:rsid w:val="77B52272"/>
    <w:rsid w:val="78120C80"/>
    <w:rsid w:val="781959A6"/>
    <w:rsid w:val="783A1618"/>
    <w:rsid w:val="788222E3"/>
    <w:rsid w:val="7908485F"/>
    <w:rsid w:val="7936053E"/>
    <w:rsid w:val="793F0B2C"/>
    <w:rsid w:val="797818E8"/>
    <w:rsid w:val="797D07AB"/>
    <w:rsid w:val="79AC25AE"/>
    <w:rsid w:val="7AAC0A0E"/>
    <w:rsid w:val="7AF0301F"/>
    <w:rsid w:val="7B237CCD"/>
    <w:rsid w:val="7B306E47"/>
    <w:rsid w:val="7B8C6B3B"/>
    <w:rsid w:val="7BB717C3"/>
    <w:rsid w:val="7BD77DB7"/>
    <w:rsid w:val="7C3F595C"/>
    <w:rsid w:val="7C507B69"/>
    <w:rsid w:val="7C683BAE"/>
    <w:rsid w:val="7C885555"/>
    <w:rsid w:val="7CBD0742"/>
    <w:rsid w:val="7CC601EC"/>
    <w:rsid w:val="7D162D31"/>
    <w:rsid w:val="7D7D55A3"/>
    <w:rsid w:val="7D9A028A"/>
    <w:rsid w:val="7DE81FDD"/>
    <w:rsid w:val="7E3C60AD"/>
    <w:rsid w:val="7E4A776E"/>
    <w:rsid w:val="7EC565EC"/>
    <w:rsid w:val="7EEF5417"/>
    <w:rsid w:val="7F0277B9"/>
    <w:rsid w:val="7F0D3AEF"/>
    <w:rsid w:val="7F435763"/>
    <w:rsid w:val="7F597673"/>
    <w:rsid w:val="7F787175"/>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23"/>
    <w:link w:val="124"/>
    <w:autoRedefine/>
    <w:qFormat/>
    <w:uiPriority w:val="0"/>
    <w:rPr>
      <w:rFonts w:ascii="仿宋_GB2312" w:hAnsi="Times New Roman" w:eastAsia="仿宋_GB2312" w:cs="Times New Roman"/>
      <w:sz w:val="32"/>
      <w:szCs w:val="20"/>
    </w:rPr>
  </w:style>
  <w:style w:type="paragraph" w:styleId="23">
    <w:name w:val="Quote"/>
    <w:basedOn w:val="1"/>
    <w:next w:val="1"/>
    <w:qFormat/>
    <w:uiPriority w:val="29"/>
    <w:pPr>
      <w:spacing w:beforeLines="50" w:afterLines="50" w:line="360" w:lineRule="auto"/>
    </w:pPr>
    <w:rPr>
      <w:i/>
      <w:iCs/>
      <w:color w:val="000000"/>
      <w:szCs w:val="24"/>
      <w:lang w:val="zh-CN"/>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19"/>
    <w:next w:val="19"/>
    <w:link w:val="80"/>
    <w:autoRedefine/>
    <w:qFormat/>
    <w:uiPriority w:val="0"/>
    <w:rPr>
      <w:sz w:val="24"/>
    </w:rPr>
  </w:style>
  <w:style w:type="paragraph" w:styleId="57">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2"/>
    <w:autoRedefine/>
    <w:qFormat/>
    <w:uiPriority w:val="0"/>
    <w:rPr>
      <w:rFonts w:ascii="宋体" w:hAnsi="Times New Roman" w:eastAsia="宋体" w:cs="Times New Roman"/>
      <w:sz w:val="28"/>
      <w:szCs w:val="20"/>
    </w:rPr>
  </w:style>
  <w:style w:type="character" w:customStyle="1" w:styleId="70">
    <w:name w:val="标题 2 Char"/>
    <w:basedOn w:val="61"/>
    <w:link w:val="3"/>
    <w:autoRedefine/>
    <w:qFormat/>
    <w:uiPriority w:val="0"/>
    <w:rPr>
      <w:rFonts w:ascii="Arial" w:hAnsi="Arial" w:eastAsia="黑体" w:cs="Times New Roman"/>
      <w:b/>
      <w:sz w:val="32"/>
      <w:szCs w:val="20"/>
    </w:rPr>
  </w:style>
  <w:style w:type="character" w:customStyle="1" w:styleId="71">
    <w:name w:val="标题 3 Char"/>
    <w:basedOn w:val="61"/>
    <w:link w:val="4"/>
    <w:autoRedefine/>
    <w:qFormat/>
    <w:uiPriority w:val="0"/>
    <w:rPr>
      <w:rFonts w:ascii="Times New Roman" w:hAnsi="Times New Roman" w:eastAsia="宋体" w:cs="Times New Roman"/>
      <w:b/>
      <w:sz w:val="32"/>
      <w:szCs w:val="20"/>
    </w:rPr>
  </w:style>
  <w:style w:type="character" w:customStyle="1" w:styleId="72">
    <w:name w:val="标题 4 Char"/>
    <w:basedOn w:val="61"/>
    <w:link w:val="5"/>
    <w:autoRedefine/>
    <w:qFormat/>
    <w:uiPriority w:val="0"/>
    <w:rPr>
      <w:rFonts w:ascii="Arial" w:hAnsi="Arial" w:eastAsia="黑体" w:cs="Times New Roman"/>
      <w:b/>
      <w:sz w:val="28"/>
      <w:szCs w:val="20"/>
    </w:rPr>
  </w:style>
  <w:style w:type="character" w:customStyle="1" w:styleId="73">
    <w:name w:val="标题 5 Char"/>
    <w:basedOn w:val="61"/>
    <w:link w:val="6"/>
    <w:autoRedefine/>
    <w:qFormat/>
    <w:uiPriority w:val="0"/>
    <w:rPr>
      <w:rFonts w:ascii="Times New Roman" w:hAnsi="Times New Roman" w:eastAsia="宋体" w:cs="Times New Roman"/>
      <w:b/>
      <w:sz w:val="28"/>
      <w:szCs w:val="20"/>
    </w:rPr>
  </w:style>
  <w:style w:type="character" w:customStyle="1" w:styleId="74">
    <w:name w:val="标题 6 Char"/>
    <w:basedOn w:val="61"/>
    <w:link w:val="7"/>
    <w:autoRedefine/>
    <w:qFormat/>
    <w:uiPriority w:val="0"/>
    <w:rPr>
      <w:rFonts w:ascii="Arial" w:hAnsi="Arial" w:eastAsia="黑体" w:cs="Times New Roman"/>
      <w:b/>
      <w:sz w:val="24"/>
      <w:szCs w:val="20"/>
    </w:rPr>
  </w:style>
  <w:style w:type="character" w:customStyle="1" w:styleId="75">
    <w:name w:val="标题 7 Char"/>
    <w:basedOn w:val="61"/>
    <w:link w:val="8"/>
    <w:autoRedefine/>
    <w:qFormat/>
    <w:uiPriority w:val="0"/>
    <w:rPr>
      <w:rFonts w:ascii="Arial" w:hAnsi="Arial" w:eastAsia="黑体" w:cs="Times New Roman"/>
      <w:b/>
      <w:sz w:val="24"/>
      <w:szCs w:val="20"/>
    </w:rPr>
  </w:style>
  <w:style w:type="character" w:customStyle="1" w:styleId="76">
    <w:name w:val="标题 8 Char"/>
    <w:basedOn w:val="61"/>
    <w:link w:val="9"/>
    <w:autoRedefine/>
    <w:qFormat/>
    <w:uiPriority w:val="0"/>
    <w:rPr>
      <w:rFonts w:ascii="Arial" w:hAnsi="Arial" w:eastAsia="黑体" w:cs="Times New Roman"/>
      <w:b/>
      <w:sz w:val="24"/>
      <w:szCs w:val="20"/>
    </w:rPr>
  </w:style>
  <w:style w:type="character" w:customStyle="1" w:styleId="77">
    <w:name w:val="标题 9 Char"/>
    <w:basedOn w:val="61"/>
    <w:link w:val="10"/>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0"/>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4"/>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40</Pages>
  <Words>15030</Words>
  <Characters>15653</Characters>
  <Lines>182</Lines>
  <Paragraphs>51</Paragraphs>
  <TotalTime>0</TotalTime>
  <ScaleCrop>false</ScaleCrop>
  <LinksUpToDate>false</LinksUpToDate>
  <CharactersWithSpaces>16946</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2025-11-23T23:58:52Z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