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2B1F">
      <w:pPr>
        <w:pStyle w:val="8"/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  <w:t>重庆市综合医院全科医疗质量评估表（2025 年）</w:t>
      </w:r>
    </w:p>
    <w:p w14:paraId="774C8876">
      <w:pPr>
        <w:pStyle w:val="19"/>
        <w:jc w:val="distribute"/>
      </w:pPr>
      <w:r>
        <w:t>医疗机构（盖章）：____________________  评估时间：年____月____日  评估得分：________________</w:t>
      </w:r>
    </w:p>
    <w:tbl>
      <w:tblPr>
        <w:tblStyle w:val="13"/>
        <w:tblW w:w="14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7"/>
        <w:gridCol w:w="303"/>
        <w:gridCol w:w="909"/>
        <w:gridCol w:w="1139"/>
        <w:gridCol w:w="3388"/>
        <w:gridCol w:w="1764"/>
        <w:gridCol w:w="1641"/>
        <w:gridCol w:w="710"/>
        <w:gridCol w:w="1421"/>
        <w:gridCol w:w="1693"/>
      </w:tblGrid>
      <w:tr w14:paraId="5012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28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73679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b/>
                <w:i w:val="0"/>
                <w:color w:val="000000"/>
              </w:rPr>
              <w:t>一级指标</w:t>
            </w:r>
          </w:p>
        </w:tc>
        <w:tc>
          <w:tcPr>
            <w:tcW w:w="1212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63889A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b/>
                <w:i w:val="0"/>
                <w:color w:val="000000"/>
              </w:rPr>
              <w:t>二级指标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40584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b/>
                <w:i w:val="0"/>
                <w:color w:val="000000"/>
              </w:rPr>
              <w:t>三级指标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18320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b/>
                <w:i w:val="0"/>
                <w:color w:val="000000"/>
              </w:rPr>
              <w:t>评估要点与评分方法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868B0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b/>
                <w:i w:val="0"/>
                <w:color w:val="000000"/>
              </w:rPr>
              <w:t>分值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47A11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rFonts w:hint="eastAsia"/>
                <w:b/>
                <w:i w:val="0"/>
                <w:color w:val="000000"/>
              </w:rPr>
              <w:t>自评分</w:t>
            </w:r>
          </w:p>
          <w:p w14:paraId="7BBBB84C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sz w:val="16"/>
                <w:szCs w:val="16"/>
              </w:rPr>
              <w:t>（附扣分原因）</w:t>
            </w: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2E536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rFonts w:hint="eastAsia"/>
                <w:b/>
                <w:i w:val="0"/>
                <w:color w:val="000000"/>
              </w:rPr>
              <w:t>督导评分</w:t>
            </w:r>
          </w:p>
          <w:p w14:paraId="349AFCB8">
            <w:pPr>
              <w:pStyle w:val="19"/>
              <w:snapToGrid w:val="0"/>
              <w:spacing w:line="240" w:lineRule="auto"/>
              <w:jc w:val="center"/>
              <w:rPr>
                <w:b/>
                <w:i w:val="0"/>
                <w:color w:val="000000"/>
              </w:rPr>
            </w:pPr>
            <w:r>
              <w:rPr>
                <w:rFonts w:hint="eastAsia"/>
                <w:b w:val="0"/>
                <w:bCs/>
                <w:i w:val="0"/>
                <w:color w:val="000000"/>
                <w:sz w:val="16"/>
                <w:szCs w:val="16"/>
              </w:rPr>
              <w:t>（附扣分原因）</w:t>
            </w:r>
          </w:p>
        </w:tc>
      </w:tr>
      <w:tr w14:paraId="289B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47C1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基本条件（32 分）</w:t>
            </w: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711B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科室设置（16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E62A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门诊</w:t>
            </w:r>
          </w:p>
          <w:p w14:paraId="5D8794E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（5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982BE">
            <w:pPr>
              <w:pStyle w:val="19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独立开设诊室≥2 间，其中至少 1 间为全科教学诊室（4 分）；独立开设诊室≥2 间，但无教学诊室（2 分）；独立诊室≤1 间（0 分）；</w:t>
            </w:r>
          </w:p>
          <w:p w14:paraId="63C60A47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诊室条件满足全科诊疗的需要（1 分），诊室内除洗手设施、电脑与网络、检查床、听诊器、血压计等基本诊疗条件外，还配有检眼镜、检耳镜、便携式血糖仪等检查工具（缺一项扣 0.2 分，直至扣完）。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55D5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5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D0D1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C9CE5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53F0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993F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313A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C65D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病房</w:t>
            </w:r>
          </w:p>
          <w:p w14:paraId="1F21D0F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（8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80566">
            <w:pPr>
              <w:pStyle w:val="19"/>
              <w:numPr>
                <w:ilvl w:val="0"/>
                <w:numId w:val="2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床位数 20-40 张（4 分），＜20 张或＞40 张（2 分）；</w:t>
            </w:r>
          </w:p>
          <w:p w14:paraId="11637B7C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有独立护理单元（2 分），</w:t>
            </w:r>
            <w:r>
              <w:rPr>
                <w:rFonts w:hint="eastAsia"/>
                <w:b w:val="0"/>
                <w:i w:val="0"/>
                <w:color w:val="000000"/>
              </w:rPr>
              <w:t>每张病床配置</w:t>
            </w:r>
            <w:r>
              <w:rPr>
                <w:b w:val="0"/>
                <w:i w:val="0"/>
                <w:color w:val="000000"/>
              </w:rPr>
              <w:t>护士≥0.45 名（2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E7F9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8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F938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9CE17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5716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6B27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2E77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4D1D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示教室</w:t>
            </w:r>
          </w:p>
          <w:p w14:paraId="215694E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（3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4C3EF">
            <w:pPr>
              <w:pStyle w:val="19"/>
              <w:numPr>
                <w:ilvl w:val="0"/>
                <w:numId w:val="3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有容纳 15 人以上学员的示教室（2 分）；</w:t>
            </w:r>
          </w:p>
          <w:p w14:paraId="5EF82374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配有线上教学或播放 PPT 的多媒体设备（1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FD67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4AF5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DC7EC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1398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23D9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79C0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人员队伍（16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D19D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科主任</w:t>
            </w:r>
          </w:p>
          <w:p w14:paraId="12312E6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（8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74E04">
            <w:pPr>
              <w:pStyle w:val="19"/>
              <w:numPr>
                <w:ilvl w:val="0"/>
                <w:numId w:val="4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具有医学本科及以上学历，取得高级技术职称（2 分）；</w:t>
            </w:r>
          </w:p>
          <w:p w14:paraId="3C403311">
            <w:pPr>
              <w:pStyle w:val="19"/>
              <w:numPr>
                <w:ilvl w:val="0"/>
                <w:numId w:val="4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执业注册（或加注册）全科医学专业（4 分）；</w:t>
            </w:r>
          </w:p>
          <w:p w14:paraId="752F307C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3. 近 5 年内获得国家级全科住培师资培训证书（2 分）或近 3 年内获得省 / 市级培训证书（1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B759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8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EA10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D052E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64CE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C27C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EA3E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6BED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各级医师（8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DA6DF">
            <w:pPr>
              <w:pStyle w:val="19"/>
              <w:numPr>
                <w:ilvl w:val="0"/>
                <w:numId w:val="5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医师数与床位数之比</w:t>
            </w:r>
            <w:r>
              <w:rPr>
                <w:b w:val="0"/>
                <w:i w:val="0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 w:val="0"/>
                <w:i w:val="0"/>
                <w:color w:val="000000"/>
                <w:highlight w:val="none"/>
                <w:lang w:val="en-US" w:eastAsia="zh-CN"/>
              </w:rPr>
              <w:t>0.3-</w:t>
            </w:r>
            <w:r>
              <w:rPr>
                <w:b w:val="0"/>
                <w:i w:val="0"/>
                <w:color w:val="000000"/>
                <w:highlight w:val="none"/>
              </w:rPr>
              <w:t>0.35:1（3 分），0.2</w:t>
            </w:r>
            <w:r>
              <w:rPr>
                <w:rFonts w:hint="eastAsia"/>
                <w:b w:val="0"/>
                <w:i w:val="0"/>
                <w:color w:val="000000"/>
                <w:highlight w:val="none"/>
                <w:lang w:val="en-US" w:eastAsia="zh-CN"/>
              </w:rPr>
              <w:t>-0.29</w:t>
            </w:r>
            <w:r>
              <w:rPr>
                <w:b w:val="0"/>
                <w:i w:val="0"/>
                <w:color w:val="000000"/>
                <w:highlight w:val="none"/>
              </w:rPr>
              <w:t>:1（2 分），0.15</w:t>
            </w:r>
            <w:r>
              <w:rPr>
                <w:rFonts w:hint="eastAsia"/>
                <w:b w:val="0"/>
                <w:i w:val="0"/>
                <w:color w:val="000000"/>
                <w:highlight w:val="none"/>
                <w:lang w:val="en-US" w:eastAsia="zh-CN"/>
              </w:rPr>
              <w:t>-0.19</w:t>
            </w:r>
            <w:r>
              <w:rPr>
                <w:b w:val="0"/>
                <w:i w:val="0"/>
                <w:color w:val="000000"/>
                <w:highlight w:val="none"/>
              </w:rPr>
              <w:t>:1（1 分）；</w:t>
            </w:r>
            <w:r>
              <w:rPr>
                <w:rFonts w:hint="eastAsia"/>
                <w:b w:val="0"/>
                <w:i w:val="0"/>
                <w:color w:val="000000"/>
                <w:highlight w:val="none"/>
                <w:lang w:val="en-US" w:eastAsia="zh-CN"/>
              </w:rPr>
              <w:t>小于0.15:1（0分）</w:t>
            </w:r>
          </w:p>
          <w:p w14:paraId="606509A8">
            <w:pPr>
              <w:pStyle w:val="19"/>
              <w:numPr>
                <w:ilvl w:val="0"/>
                <w:numId w:val="5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职称结构合理，高、中、初比例 3:4:3，各级人员占比可上下浮动 10%（2 分）；</w:t>
            </w:r>
          </w:p>
          <w:p w14:paraId="0D70166B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3. 取得全科执业资格医师数不少于 5 名（其中主治及以上职称不少于 3 名）（3 分）。全科执业资格医师数少 1 名扣 1 分，全科中级及以上职称人数少 1 名扣 1.5 分。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C771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8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0C41D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A4FCD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1A9B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3025D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科室管理（18 分）</w:t>
            </w: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A63F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医疗质量（13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81C7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制度与安全</w:t>
            </w:r>
            <w:r>
              <w:rPr>
                <w:b w:val="0"/>
                <w:i w:val="0"/>
                <w:color w:val="auto"/>
              </w:rPr>
              <w:t>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89DE5">
            <w:pPr>
              <w:pStyle w:val="19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落实医疗核心制度，无被医院质控管理部门扣分情况（1 分）；</w:t>
            </w:r>
          </w:p>
          <w:p w14:paraId="3121C537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有质量管理方案及风险防范预案（1 分）；</w:t>
            </w:r>
          </w:p>
          <w:p w14:paraId="6912A078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3. 未发生医疗安全事故（2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802F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42CD4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06C26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4F2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12BC4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003A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B2FB5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质控</w:t>
            </w:r>
            <w:r>
              <w:rPr>
                <w:rFonts w:hint="eastAsia"/>
                <w:b w:val="0"/>
                <w:i w:val="0"/>
                <w:color w:val="auto"/>
              </w:rPr>
              <w:t>工作</w:t>
            </w:r>
            <w:r>
              <w:rPr>
                <w:b w:val="0"/>
                <w:i w:val="0"/>
                <w:color w:val="auto"/>
              </w:rPr>
              <w:t>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1E9E9">
            <w:pPr>
              <w:pStyle w:val="19"/>
              <w:numPr>
                <w:ilvl w:val="0"/>
                <w:numId w:val="7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建立全科医疗质控小组 (含科主任、医护代表、质控员)（1 分），每月召开质控会议（1 分）；</w:t>
            </w:r>
          </w:p>
          <w:p w14:paraId="7F20AE9B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积极参与并配合卫生健康行政部门、</w:t>
            </w:r>
            <w:r>
              <w:rPr>
                <w:rFonts w:hint="eastAsia"/>
                <w:b w:val="0"/>
                <w:i w:val="0"/>
                <w:color w:val="000000"/>
              </w:rPr>
              <w:t>各级</w:t>
            </w:r>
            <w:r>
              <w:rPr>
                <w:b w:val="0"/>
                <w:i w:val="0"/>
                <w:color w:val="000000"/>
              </w:rPr>
              <w:t>全科医疗质量控制中心组织开展的质控工作（2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97F0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DBB5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139F7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3FAE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900E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05D0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B2D7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DRG/DIP 管理（5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CD7BE">
            <w:pPr>
              <w:pStyle w:val="19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DRG</w:t>
            </w:r>
            <w:r>
              <w:rPr>
                <w:b w:val="0"/>
                <w:i w:val="0"/>
                <w:color w:val="000000"/>
              </w:rPr>
              <w:t>病组费用偏离率≤±10% 占比≥80%（2 分）；50%-80%（1 分），≤50%（0 分）；</w:t>
            </w:r>
          </w:p>
          <w:p w14:paraId="768AD696">
            <w:pPr>
              <w:pStyle w:val="19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入出院诊断符合率≥95%（2 分）；90%-95%（1 分）；≤90%（0 分）；</w:t>
            </w:r>
          </w:p>
          <w:p w14:paraId="1C082E82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3. DRG 病案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首页主要诊断填写正确</w:t>
            </w:r>
            <w:r>
              <w:rPr>
                <w:b w:val="0"/>
                <w:i w:val="0"/>
                <w:color w:val="000000"/>
              </w:rPr>
              <w:t>率≥90%（1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434C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5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ED61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8EA7E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57E1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EA5F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DCD0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基本面貌（5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B8DA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医疗投诉</w:t>
            </w:r>
            <w:r>
              <w:rPr>
                <w:b w:val="0"/>
                <w:i w:val="0"/>
                <w:color w:val="auto"/>
              </w:rPr>
              <w:t>（3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8C2F1">
            <w:pPr>
              <w:pStyle w:val="19"/>
              <w:numPr>
                <w:ilvl w:val="0"/>
                <w:numId w:val="9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医德医风优良，医患关系融洽，无因违反医德规范被有效投诉（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</w:rPr>
              <w:t xml:space="preserve"> 分）；</w:t>
            </w:r>
          </w:p>
          <w:p w14:paraId="4D248261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无违规执业行为或违规违纪行为被查处或引发有效医疗投诉（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</w:rPr>
              <w:t xml:space="preserve">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ADBF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5624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677CB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749A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7032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8B8E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F44A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人员</w:t>
            </w:r>
            <w:r>
              <w:rPr>
                <w:rFonts w:hint="eastAsia"/>
                <w:b w:val="0"/>
                <w:i w:val="0"/>
                <w:color w:val="auto"/>
              </w:rPr>
              <w:t>/</w:t>
            </w:r>
            <w:r>
              <w:rPr>
                <w:b w:val="0"/>
                <w:i w:val="0"/>
                <w:color w:val="auto"/>
              </w:rPr>
              <w:t>病区面貌</w:t>
            </w:r>
          </w:p>
          <w:p w14:paraId="01A5AE0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（2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EAD51">
            <w:pPr>
              <w:pStyle w:val="19"/>
              <w:numPr>
                <w:ilvl w:val="0"/>
                <w:numId w:val="10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医务人员穿戴整洁并规范佩戴胸牌，仪表端庄大方，态度和蔼（1 分）。门诊或病房随机查看，或观察 1 名全科医生接诊过程，有缺陷酌情扣分；</w:t>
            </w:r>
          </w:p>
          <w:p w14:paraId="282DD864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病区整洁，公共空间与通道无杂物；门诊与病房医生办公或接诊桌面整洁，无其他无关物品（1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DE4B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4D29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93AC3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35F6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572F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服务能力（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28</w:t>
            </w:r>
            <w:r>
              <w:rPr>
                <w:b w:val="0"/>
                <w:i w:val="0"/>
                <w:color w:val="000000"/>
              </w:rPr>
              <w:t xml:space="preserve"> 分）</w:t>
            </w: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3852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服务内涵（1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6</w:t>
            </w:r>
            <w:r>
              <w:rPr>
                <w:b w:val="0"/>
                <w:i w:val="0"/>
                <w:color w:val="000000"/>
              </w:rPr>
              <w:t xml:space="preserve">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831A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诊疗范围（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8</w:t>
            </w:r>
            <w:r>
              <w:rPr>
                <w:b w:val="0"/>
                <w:i w:val="0"/>
                <w:color w:val="auto"/>
              </w:rPr>
              <w:t xml:space="preserve">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67EAD">
            <w:pPr>
              <w:pStyle w:val="19"/>
              <w:numPr>
                <w:ilvl w:val="0"/>
                <w:numId w:val="11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常见病、多发病的诊治，负责处理基层难以解决的各种健康问题，如难以控制或伴有多种并发症的高血压、糖尿病、冠心病、脑血管疾病、慢阻肺等（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</w:rPr>
              <w:t xml:space="preserve"> 分）；</w:t>
            </w:r>
          </w:p>
          <w:p w14:paraId="738A286D">
            <w:pPr>
              <w:pStyle w:val="19"/>
              <w:numPr>
                <w:ilvl w:val="0"/>
                <w:numId w:val="11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多种慢性病的长期综合管理，尤其侧重于多病共患患者（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</w:rPr>
              <w:t>分）；</w:t>
            </w:r>
          </w:p>
          <w:p w14:paraId="6698A377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3. 未明确诊断的症状与疾病的照顾，如不明原因乏力、疼痛、消瘦、水肿等（2 分）；</w:t>
            </w:r>
          </w:p>
          <w:p w14:paraId="74B3F817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4. 健康管理服务（2 分）。</w:t>
            </w:r>
          </w:p>
          <w:p w14:paraId="504883E6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注：超出以上诊疗范围，且目前不适宜在全科</w:t>
            </w:r>
            <w:r>
              <w:rPr>
                <w:rFonts w:hint="eastAsia"/>
                <w:b w:val="0"/>
                <w:i w:val="0"/>
                <w:color w:val="000000"/>
              </w:rPr>
              <w:t>开展</w:t>
            </w:r>
            <w:r>
              <w:rPr>
                <w:b w:val="0"/>
                <w:i w:val="0"/>
                <w:color w:val="000000"/>
              </w:rPr>
              <w:t>的诊疗技术，如限制类技术，发现 1 项扣 1 分。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CA53F">
            <w:pPr>
              <w:pStyle w:val="19"/>
              <w:snapToGrid w:val="0"/>
              <w:spacing w:line="240" w:lineRule="auto"/>
              <w:jc w:val="center"/>
              <w:rPr>
                <w:rFonts w:hint="eastAsia" w:eastAsia="等线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8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41C9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032B7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1FB2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0293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8E71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C875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连续服务（4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7BEBF">
            <w:pPr>
              <w:pStyle w:val="19"/>
              <w:numPr>
                <w:ilvl w:val="0"/>
                <w:numId w:val="12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提供综合性、</w:t>
            </w:r>
            <w:r>
              <w:rPr>
                <w:rFonts w:hint="eastAsia"/>
                <w:b w:val="0"/>
                <w:i w:val="0"/>
                <w:color w:val="000000"/>
              </w:rPr>
              <w:t>连续</w:t>
            </w:r>
            <w:r>
              <w:rPr>
                <w:b w:val="0"/>
                <w:i w:val="0"/>
                <w:color w:val="000000"/>
              </w:rPr>
              <w:t>性诊疗与健康管理（2 分）；</w:t>
            </w:r>
          </w:p>
          <w:p w14:paraId="56180224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有相对稳定的慢性病患者复诊开药或复查（查 HIS 门诊医生工作站）（2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94D6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AE6F4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E0A11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1D58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B76F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2DA5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67AAFD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协调服务（4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9DBCA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1. 有双向转诊制度（2 分）；</w:t>
            </w:r>
          </w:p>
          <w:p w14:paraId="186E7202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按要求完成</w:t>
            </w:r>
            <w:r>
              <w:rPr>
                <w:rFonts w:hint="eastAsia"/>
                <w:b w:val="0"/>
                <w:i w:val="0"/>
                <w:color w:val="000000"/>
              </w:rPr>
              <w:t>医院下达的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双向转诊</w:t>
            </w:r>
            <w:r>
              <w:rPr>
                <w:b w:val="0"/>
                <w:i w:val="0"/>
                <w:color w:val="000000"/>
              </w:rPr>
              <w:t>考核指标（2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9F57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39C6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CC0E0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29CA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B5D0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779E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服务质量（12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B7FE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病历质量（2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0F98B">
            <w:pPr>
              <w:pStyle w:val="19"/>
              <w:snapToGrid w:val="0"/>
              <w:spacing w:line="240" w:lineRule="auto"/>
              <w:jc w:val="left"/>
              <w:rPr>
                <w:rFonts w:ascii="Arial" w:hAnsi="Arial" w:cs="Arial"/>
                <w:b w:val="0"/>
                <w:i w:val="0"/>
                <w:color w:val="000000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</w:rPr>
              <w:t>病历记录资料详实，符合医院病历质量管理规定，且具有一定的全科医疗特征。抽查 10 份已完成病历，1 处缺陷扣 0.2 分（2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0AE1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ACF3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F4E3B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2C2B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5A98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1871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91DC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医患沟通（2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214EE3">
            <w:pPr>
              <w:pStyle w:val="19"/>
              <w:snapToGrid w:val="0"/>
              <w:spacing w:line="240" w:lineRule="auto"/>
              <w:jc w:val="left"/>
              <w:rPr>
                <w:rFonts w:ascii="Arial" w:hAnsi="Arial" w:cs="Arial"/>
                <w:b w:val="0"/>
                <w:i w:val="0"/>
                <w:color w:val="000000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</w:rPr>
              <w:t>病历中有医患沟通记录，沟通内容合乎情理（2 分）。因医患沟通缺陷导致患方有效投诉，此项不得分。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F49E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DEDF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9181D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2AB5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3072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359C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3042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合理检查（4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59665">
            <w:pPr>
              <w:pStyle w:val="19"/>
              <w:snapToGrid w:val="0"/>
              <w:spacing w:line="240" w:lineRule="auto"/>
              <w:jc w:val="left"/>
              <w:rPr>
                <w:rFonts w:ascii="Arial" w:hAnsi="Arial" w:cs="Arial"/>
                <w:b w:val="0"/>
                <w:i w:val="0"/>
                <w:color w:val="000000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</w:rPr>
              <w:t>随机抽查住院患者 10 例，检查具有明确的指征（4 分），发现不合理检查 1 例扣 1 分，直至扣完。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A11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F8A9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0D72B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256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2167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0DF1A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79012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合理用药（4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BBFEC">
            <w:pPr>
              <w:pStyle w:val="19"/>
              <w:snapToGrid w:val="0"/>
              <w:spacing w:line="240" w:lineRule="auto"/>
              <w:jc w:val="left"/>
              <w:rPr>
                <w:rFonts w:ascii="Arial" w:hAnsi="Arial" w:cs="Arial"/>
                <w:b w:val="0"/>
                <w:i w:val="0"/>
                <w:color w:val="000000"/>
              </w:rPr>
            </w:pPr>
            <w:r>
              <w:rPr>
                <w:rFonts w:ascii="Arial" w:hAnsi="Arial" w:cs="Arial"/>
                <w:b w:val="0"/>
                <w:i w:val="0"/>
                <w:color w:val="000000"/>
              </w:rPr>
              <w:t>随机抽查住院或门诊患者 10 例，用药具有明确适应症，剂量、联合用药等符合规范（4 分），发现 1 例不合理用药扣 1 分，直至扣完。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F605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D480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ED77F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7BF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7C8E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服务效率与效果</w:t>
            </w:r>
          </w:p>
          <w:p w14:paraId="40AEBC8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（12 分）</w:t>
            </w: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AFA2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效率</w:t>
            </w:r>
          </w:p>
          <w:p w14:paraId="4359A9A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（6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BD3A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门诊人次（3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1B36D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年门诊量≥20000 人次（3 分），≥10000 人次（2 分），8000-9999 人次（1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99BE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5635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C51AB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F67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7675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F02D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2E26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住院人次（3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CB03D">
            <w:pPr>
              <w:pStyle w:val="19"/>
              <w:numPr>
                <w:ilvl w:val="0"/>
                <w:numId w:val="13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年出院人数≥900 人次（1 分），899-500 人次（1 分）；≤500 人次（0 分）；</w:t>
            </w:r>
          </w:p>
          <w:p w14:paraId="000907F4">
            <w:pPr>
              <w:pStyle w:val="19"/>
              <w:numPr>
                <w:ilvl w:val="0"/>
                <w:numId w:val="13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病床使用率≥80%（1 分），70-79%（0.5 分），≤70%（0 分）；</w:t>
            </w:r>
          </w:p>
          <w:p w14:paraId="782DC256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3</w:t>
            </w:r>
            <w:r>
              <w:rPr>
                <w:rFonts w:hint="eastAsia"/>
                <w:b w:val="0"/>
                <w:i w:val="0"/>
                <w:color w:val="auto"/>
              </w:rPr>
              <w:t>.</w:t>
            </w:r>
            <w:r>
              <w:rPr>
                <w:b w:val="0"/>
                <w:i w:val="0"/>
                <w:color w:val="auto"/>
              </w:rPr>
              <w:t>平均住院日 &lt; 8 天或完成医院设定目标值（1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62AD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3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14A8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40567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59BB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7F8A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F97C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效果</w:t>
            </w:r>
          </w:p>
          <w:p w14:paraId="74D7282D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（6 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1D69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基层指导（4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87D19">
            <w:pPr>
              <w:pStyle w:val="19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>与至少 1 家基层医疗卫生服务机构建立紧密合作关系（2 分）；</w:t>
            </w:r>
          </w:p>
          <w:p w14:paraId="3D99BEFA">
            <w:pPr>
              <w:pStyle w:val="19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  <w:highlight w:val="none"/>
              </w:rPr>
            </w:pPr>
            <w:r>
              <w:rPr>
                <w:b w:val="0"/>
                <w:i w:val="0"/>
                <w:color w:val="auto"/>
                <w:highlight w:val="none"/>
              </w:rPr>
              <w:t xml:space="preserve">2. 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住培基地</w:t>
            </w:r>
            <w:r>
              <w:rPr>
                <w:b w:val="0"/>
                <w:i w:val="0"/>
                <w:color w:val="auto"/>
                <w:highlight w:val="none"/>
              </w:rPr>
              <w:t>全科师资</w:t>
            </w:r>
            <w:r>
              <w:rPr>
                <w:rFonts w:hint="eastAsia"/>
                <w:b w:val="0"/>
                <w:i w:val="0"/>
                <w:color w:val="auto"/>
                <w:highlight w:val="none"/>
                <w:lang w:val="en-US" w:eastAsia="zh-CN"/>
              </w:rPr>
              <w:t>需</w:t>
            </w:r>
            <w:r>
              <w:rPr>
                <w:b w:val="0"/>
                <w:i w:val="0"/>
                <w:color w:val="auto"/>
                <w:highlight w:val="none"/>
              </w:rPr>
              <w:t>每月指导社区≥1 次（2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9608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4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2AD9B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F2703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4BDB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87EB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12FD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EEB8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病人反馈（1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286C6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病人调查综合满意度≥90%（1 分），＜90%（0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C7290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4851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A19DF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3E01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1447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FF69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0919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医护自评（1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78246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医护人员调查综合满意度≥90%（1 分），＜90%（0 分）。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52185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89F5D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02B86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6CBA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128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EB05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教育与科研（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10</w:t>
            </w:r>
            <w:r>
              <w:rPr>
                <w:b w:val="0"/>
                <w:i w:val="0"/>
                <w:color w:val="000000"/>
              </w:rPr>
              <w:t xml:space="preserve"> 分）</w:t>
            </w:r>
          </w:p>
        </w:tc>
        <w:tc>
          <w:tcPr>
            <w:tcW w:w="1212" w:type="dxa"/>
            <w:gridSpan w:val="2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B3046">
            <w:pPr>
              <w:pStyle w:val="19"/>
              <w:snapToGrid w:val="0"/>
              <w:spacing w:line="240" w:lineRule="auto"/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</w:rPr>
              <w:t>教育与培训</w:t>
            </w:r>
          </w:p>
          <w:p w14:paraId="5CE2DCA5">
            <w:pPr>
              <w:pStyle w:val="19"/>
              <w:snapToGrid w:val="0"/>
              <w:spacing w:line="240" w:lineRule="auto"/>
              <w:jc w:val="center"/>
              <w:rPr>
                <w:rFonts w:hint="eastAsia"/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>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5</w:t>
            </w:r>
            <w:r>
              <w:rPr>
                <w:b w:val="0"/>
                <w:i w:val="0"/>
                <w:color w:val="auto"/>
              </w:rPr>
              <w:t>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8FA3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毕业后教育</w:t>
            </w:r>
            <w:r>
              <w:rPr>
                <w:b w:val="0"/>
                <w:i w:val="0"/>
                <w:color w:val="auto"/>
              </w:rPr>
              <w:t>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4</w:t>
            </w:r>
            <w:r>
              <w:rPr>
                <w:b w:val="0"/>
                <w:i w:val="0"/>
                <w:color w:val="auto"/>
              </w:rPr>
              <w:t xml:space="preserve"> 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4518E">
            <w:pPr>
              <w:pStyle w:val="19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1.住</w:t>
            </w:r>
            <w:r>
              <w:rPr>
                <w:b w:val="0"/>
                <w:i w:val="0"/>
                <w:color w:val="auto"/>
              </w:rPr>
              <w:t>培基地需完成招生指标并按规定开展培训（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</w:t>
            </w:r>
            <w:r>
              <w:rPr>
                <w:b w:val="0"/>
                <w:i w:val="0"/>
                <w:color w:val="auto"/>
              </w:rPr>
              <w:t xml:space="preserve"> 分），</w:t>
            </w:r>
          </w:p>
          <w:p w14:paraId="120F6596">
            <w:pPr>
              <w:pStyle w:val="19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auto"/>
              </w:rPr>
            </w:pP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2.执业医师首考通过率与</w:t>
            </w:r>
            <w:r>
              <w:rPr>
                <w:b w:val="0"/>
                <w:i w:val="0"/>
                <w:color w:val="auto"/>
              </w:rPr>
              <w:t>结业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首考</w:t>
            </w:r>
            <w:r>
              <w:rPr>
                <w:b w:val="0"/>
                <w:i w:val="0"/>
                <w:color w:val="auto"/>
              </w:rPr>
              <w:t>通过率达到全市平均水平及以上（</w:t>
            </w:r>
            <w:r>
              <w:rPr>
                <w:rFonts w:hint="eastAsia"/>
                <w:b w:val="0"/>
                <w:i w:val="0"/>
                <w:color w:val="auto"/>
                <w:lang w:val="en-US" w:eastAsia="zh-CN"/>
              </w:rPr>
              <w:t>各</w:t>
            </w:r>
            <w:r>
              <w:rPr>
                <w:b w:val="0"/>
                <w:i w:val="0"/>
                <w:color w:val="auto"/>
              </w:rPr>
              <w:t>1 分，未达到不得分）；</w:t>
            </w:r>
          </w:p>
        </w:tc>
        <w:tc>
          <w:tcPr>
            <w:tcW w:w="710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7A482">
            <w:pPr>
              <w:pStyle w:val="19"/>
              <w:snapToGrid w:val="0"/>
              <w:spacing w:line="240" w:lineRule="auto"/>
              <w:jc w:val="center"/>
              <w:rPr>
                <w:rFonts w:hint="eastAsia" w:eastAsia="等线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</w:p>
        </w:tc>
        <w:tc>
          <w:tcPr>
            <w:tcW w:w="1421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9C664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24621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775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0DAD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99BE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AAE46">
            <w:pPr>
              <w:pStyle w:val="19"/>
              <w:snapToGrid w:val="0"/>
              <w:spacing w:line="240" w:lineRule="auto"/>
              <w:jc w:val="center"/>
              <w:rPr>
                <w:rFonts w:hint="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继续教育</w:t>
            </w:r>
          </w:p>
          <w:p w14:paraId="26CB9458">
            <w:pPr>
              <w:pStyle w:val="19"/>
              <w:snapToGrid w:val="0"/>
              <w:spacing w:line="240" w:lineRule="auto"/>
              <w:jc w:val="center"/>
              <w:rPr>
                <w:rFonts w:hint="eastAsia"/>
                <w:b w:val="0"/>
                <w:i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（1分）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EDC5E">
            <w:pPr>
              <w:pStyle w:val="19"/>
              <w:snapToGrid w:val="0"/>
              <w:spacing w:line="240" w:lineRule="auto"/>
              <w:jc w:val="left"/>
              <w:rPr>
                <w:rFonts w:hint="eastAsia"/>
                <w:b w:val="0"/>
                <w:i w:val="0"/>
                <w:color w:val="EE0000"/>
              </w:rPr>
            </w:pPr>
            <w:r>
              <w:rPr>
                <w:b w:val="0"/>
                <w:i w:val="0"/>
                <w:color w:val="000000"/>
              </w:rPr>
              <w:t>承担基层医疗卫生人员的进修 / 转岗 / 骨干医师培训学习（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</w:rPr>
              <w:t xml:space="preserve"> 分）。</w:t>
            </w:r>
          </w:p>
        </w:tc>
        <w:tc>
          <w:tcPr>
            <w:tcW w:w="710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13801">
            <w:pPr>
              <w:pStyle w:val="19"/>
              <w:snapToGrid w:val="0"/>
              <w:spacing w:line="240" w:lineRule="auto"/>
              <w:jc w:val="center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421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352CB">
            <w:pPr>
              <w:pStyle w:val="19"/>
              <w:snapToGrid w:val="0"/>
              <w:spacing w:line="240" w:lineRule="auto"/>
              <w:rPr>
                <w:rFonts w:hint="eastAsia"/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57EA">
            <w:pPr>
              <w:pStyle w:val="19"/>
              <w:snapToGrid w:val="0"/>
              <w:spacing w:line="240" w:lineRule="auto"/>
              <w:rPr>
                <w:rFonts w:hint="eastAsia"/>
                <w:b w:val="0"/>
                <w:i w:val="0"/>
                <w:color w:val="000000"/>
              </w:rPr>
            </w:pPr>
          </w:p>
        </w:tc>
      </w:tr>
      <w:tr w14:paraId="207B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14FA1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212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8032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科研</w:t>
            </w:r>
          </w:p>
          <w:p w14:paraId="3BA31C39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  <w:r>
              <w:rPr>
                <w:b w:val="0"/>
                <w:i w:val="0"/>
                <w:color w:val="000000"/>
              </w:rPr>
              <w:t>分）</w:t>
            </w:r>
          </w:p>
        </w:tc>
        <w:tc>
          <w:tcPr>
            <w:tcW w:w="1139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1C598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科研业绩（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  <w:r>
              <w:rPr>
                <w:b w:val="0"/>
                <w:i w:val="0"/>
                <w:color w:val="000000"/>
              </w:rPr>
              <w:t>分）</w:t>
            </w:r>
          </w:p>
        </w:tc>
        <w:tc>
          <w:tcPr>
            <w:tcW w:w="6793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D9038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本年度在统计源期刊发表临床研究论文 1 篇 0.5 分，在 CSCD 或中文核心期刊发表 1 篇 1 分，SCI 期刊临床研究论文 1 篇 3 分</w:t>
            </w:r>
            <w:r>
              <w:rPr>
                <w:rFonts w:hint="eastAsia"/>
                <w:b w:val="0"/>
                <w:i w:val="0"/>
                <w:color w:val="000000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获省部级及以上全科教育相关课题1项2分</w:t>
            </w:r>
            <w:r>
              <w:rPr>
                <w:b w:val="0"/>
                <w:i w:val="0"/>
                <w:color w:val="000000"/>
              </w:rPr>
              <w:t xml:space="preserve">。总分不超过 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  <w:r>
              <w:rPr>
                <w:b w:val="0"/>
                <w:i w:val="0"/>
                <w:color w:val="000000"/>
              </w:rPr>
              <w:t xml:space="preserve"> 分。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E1AD77">
            <w:pPr>
              <w:pStyle w:val="19"/>
              <w:snapToGrid w:val="0"/>
              <w:spacing w:line="240" w:lineRule="auto"/>
              <w:jc w:val="center"/>
              <w:rPr>
                <w:rFonts w:hint="eastAsia" w:eastAsia="等线"/>
                <w:b w:val="0"/>
                <w:i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5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41B7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203A6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0979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431" w:type="dxa"/>
            <w:gridSpan w:val="7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47042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合计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9858F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100</w:t>
            </w:r>
          </w:p>
        </w:tc>
        <w:tc>
          <w:tcPr>
            <w:tcW w:w="142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5AC43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  <w:tc>
          <w:tcPr>
            <w:tcW w:w="169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61911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1582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87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252AC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加分项</w:t>
            </w:r>
          </w:p>
        </w:tc>
        <w:tc>
          <w:tcPr>
            <w:tcW w:w="9144" w:type="dxa"/>
            <w:gridSpan w:val="6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A7C76">
            <w:pPr>
              <w:pStyle w:val="19"/>
              <w:numPr>
                <w:ilvl w:val="0"/>
                <w:numId w:val="15"/>
              </w:numPr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开设特色（乏力、消瘦、水肿、心理咨询、肥胖、MDT 等）门诊（2 分）；</w:t>
            </w:r>
          </w:p>
          <w:p w14:paraId="039BAC96">
            <w:pPr>
              <w:pStyle w:val="19"/>
              <w:numPr>
                <w:ilvl w:val="0"/>
                <w:numId w:val="15"/>
              </w:numPr>
              <w:snapToGrid w:val="0"/>
              <w:spacing w:line="240" w:lineRule="auto"/>
              <w:ind w:left="0" w:leftChars="0" w:firstLine="0" w:firstLineChars="0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提供舒缓医疗（2 分）；</w:t>
            </w:r>
          </w:p>
          <w:p w14:paraId="31672387">
            <w:pPr>
              <w:pStyle w:val="19"/>
              <w:numPr>
                <w:ilvl w:val="0"/>
                <w:numId w:val="15"/>
              </w:numPr>
              <w:snapToGrid w:val="0"/>
              <w:spacing w:line="240" w:lineRule="auto"/>
              <w:ind w:left="0" w:leftChars="0" w:firstLine="0" w:firstLineChars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lang w:eastAsia="zh-CN"/>
              </w:rPr>
              <w:t>全科住培基地获评</w:t>
            </w:r>
            <w:r>
              <w:rPr>
                <w:rFonts w:hint="eastAsia"/>
                <w:lang w:val="en-US" w:eastAsia="zh-CN"/>
              </w:rPr>
              <w:t>本年度</w:t>
            </w:r>
            <w:r>
              <w:rPr>
                <w:rFonts w:hint="eastAsia"/>
                <w:lang w:eastAsia="zh-CN"/>
              </w:rPr>
              <w:t>省级及以上表彰</w:t>
            </w:r>
            <w:r>
              <w:rPr>
                <w:b w:val="0"/>
                <w:i w:val="0"/>
                <w:color w:val="000000"/>
              </w:rPr>
              <w:t>（2 分）；</w:t>
            </w:r>
          </w:p>
          <w:p w14:paraId="695E91E6">
            <w:pPr>
              <w:pStyle w:val="19"/>
              <w:numPr>
                <w:ilvl w:val="0"/>
                <w:numId w:val="15"/>
              </w:numPr>
              <w:snapToGrid w:val="0"/>
              <w:spacing w:line="240" w:lineRule="auto"/>
              <w:ind w:left="0" w:leftChars="0" w:firstLine="0" w:firstLineChars="0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DRG 病组绩效排名</w:t>
            </w:r>
            <w:r>
              <w:rPr>
                <w:rFonts w:hint="eastAsia"/>
                <w:b w:val="0"/>
                <w:i w:val="0"/>
                <w:color w:val="000000"/>
                <w:lang w:val="en-US" w:eastAsia="zh-CN"/>
              </w:rPr>
              <w:t>在</w:t>
            </w:r>
            <w:r>
              <w:rPr>
                <w:rFonts w:hint="eastAsia"/>
                <w:b w:val="0"/>
                <w:i w:val="0"/>
                <w:color w:val="000000"/>
                <w:highlight w:val="none"/>
                <w:lang w:val="en-US" w:eastAsia="zh-CN"/>
              </w:rPr>
              <w:t>本机构</w:t>
            </w:r>
            <w:r>
              <w:rPr>
                <w:b w:val="0"/>
                <w:i w:val="0"/>
                <w:color w:val="000000"/>
              </w:rPr>
              <w:t>前 20%（2 分）；</w:t>
            </w:r>
          </w:p>
          <w:p w14:paraId="4BEBCC6C">
            <w:pPr>
              <w:pStyle w:val="19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5. 专家认定的其他亮点（不超过 2 项，每项 2 分）。</w:t>
            </w:r>
          </w:p>
          <w:p w14:paraId="39CC55F0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注：加分项总分不超过 10 分</w:t>
            </w:r>
            <w:r>
              <w:rPr>
                <w:rFonts w:hint="eastAsia"/>
                <w:b w:val="0"/>
                <w:i w:val="0"/>
                <w:color w:val="000000"/>
              </w:rPr>
              <w:t>，</w:t>
            </w:r>
            <w:r>
              <w:rPr>
                <w:b w:val="0"/>
                <w:i w:val="0"/>
              </w:rPr>
              <w:t>不计入</w:t>
            </w:r>
            <w:r>
              <w:rPr>
                <w:rFonts w:hint="eastAsia"/>
                <w:b w:val="0"/>
                <w:i w:val="0"/>
              </w:rPr>
              <w:t>100分</w:t>
            </w:r>
            <w:r>
              <w:rPr>
                <w:b w:val="0"/>
                <w:i w:val="0"/>
              </w:rPr>
              <w:t>基础分值</w:t>
            </w:r>
            <w:r>
              <w:rPr>
                <w:b w:val="0"/>
                <w:i w:val="0"/>
                <w:color w:val="000000"/>
              </w:rPr>
              <w:t>。</w:t>
            </w:r>
          </w:p>
        </w:tc>
        <w:tc>
          <w:tcPr>
            <w:tcW w:w="710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8A557">
            <w:pPr>
              <w:pStyle w:val="19"/>
              <w:wordWrap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rFonts w:hint="eastAsia"/>
                <w:b w:val="0"/>
                <w:i w:val="0"/>
                <w:color w:val="000000"/>
              </w:rPr>
              <w:t>10</w:t>
            </w:r>
          </w:p>
        </w:tc>
        <w:tc>
          <w:tcPr>
            <w:tcW w:w="311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46845">
            <w:pPr>
              <w:pStyle w:val="19"/>
              <w:snapToGrid w:val="0"/>
              <w:spacing w:line="240" w:lineRule="auto"/>
              <w:rPr>
                <w:b w:val="0"/>
                <w:i w:val="0"/>
                <w:color w:val="000000"/>
              </w:rPr>
            </w:pPr>
          </w:p>
        </w:tc>
      </w:tr>
      <w:tr w14:paraId="7631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255" w:type="dxa"/>
            <w:gridSpan w:val="10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50CB7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/>
                <w:bCs/>
                <w:i w:val="0"/>
                <w:color w:val="000000"/>
              </w:rPr>
              <w:t>专家评语</w:t>
            </w:r>
          </w:p>
        </w:tc>
      </w:tr>
      <w:tr w14:paraId="47A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90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C697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1. 主要优点：</w:t>
            </w:r>
          </w:p>
        </w:tc>
        <w:tc>
          <w:tcPr>
            <w:tcW w:w="5436" w:type="dxa"/>
            <w:gridSpan w:val="3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2A01F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</w:p>
          <w:p w14:paraId="4F02D8E1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</w:p>
          <w:p w14:paraId="52AEDF92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</w:p>
          <w:p w14:paraId="2CED274C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</w:p>
          <w:p w14:paraId="1246BDA1">
            <w:pPr>
              <w:pStyle w:val="19"/>
              <w:snapToGrid w:val="0"/>
              <w:spacing w:line="240" w:lineRule="auto"/>
              <w:jc w:val="left"/>
              <w:rPr>
                <w:b w:val="0"/>
                <w:i w:val="0"/>
                <w:color w:val="000000"/>
              </w:rPr>
            </w:pPr>
          </w:p>
        </w:tc>
        <w:tc>
          <w:tcPr>
            <w:tcW w:w="1764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386B6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2. 不足之处：</w:t>
            </w:r>
          </w:p>
        </w:tc>
        <w:tc>
          <w:tcPr>
            <w:tcW w:w="5465" w:type="dxa"/>
            <w:gridSpan w:val="4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3A21E">
            <w:pPr>
              <w:pStyle w:val="19"/>
              <w:snapToGrid w:val="0"/>
              <w:spacing w:line="240" w:lineRule="auto"/>
              <w:jc w:val="center"/>
              <w:rPr>
                <w:b w:val="0"/>
                <w:i w:val="0"/>
                <w:color w:val="000000"/>
              </w:rPr>
            </w:pPr>
          </w:p>
        </w:tc>
      </w:tr>
    </w:tbl>
    <w:p w14:paraId="6C73F418">
      <w:pPr>
        <w:pStyle w:val="19"/>
        <w:jc w:val="distribute"/>
      </w:pPr>
    </w:p>
    <w:p w14:paraId="5A9B11CD">
      <w:pPr>
        <w:pStyle w:val="19"/>
        <w:jc w:val="distribute"/>
      </w:pPr>
      <w:r>
        <w:t>专家签字：____________________  单位分管领导签字：____________________  ____年____月____日</w:t>
      </w:r>
    </w:p>
    <w:p w14:paraId="3C915BA8">
      <w:pPr>
        <w:pStyle w:val="4"/>
        <w:rPr>
          <w:b w:val="0"/>
          <w:bCs w:val="0"/>
          <w:sz w:val="22"/>
          <w:szCs w:val="22"/>
        </w:rPr>
      </w:pPr>
      <w:r>
        <w:rPr>
          <w:b w:val="0"/>
          <w:bCs w:val="0"/>
          <w:sz w:val="24"/>
          <w:szCs w:val="24"/>
        </w:rPr>
        <w:t>说明</w:t>
      </w:r>
      <w:r>
        <w:rPr>
          <w:rFonts w:hint="eastAsia"/>
          <w:b w:val="0"/>
          <w:bCs w:val="0"/>
          <w:sz w:val="24"/>
          <w:szCs w:val="24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1.非住培基地的医疗机构与住培相关考核指标默认为满分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>。2.最终评估总得分 = 基础得分 + 加分项得分（最高 110 分）。</w:t>
      </w:r>
    </w:p>
    <w:sectPr>
      <w:footerReference r:id="rId3" w:type="default"/>
      <w:pgSz w:w="16838" w:h="11906" w:orient="landscape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3F35C6D-2F55-4ABC-8632-9F398AC893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394338-2D61-448E-838C-BC817B6E91C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01F0BBA-16D9-4A20-843B-DE76186DC15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6D9188F-A0CC-4E4A-BF56-F9FD98EF6D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BD2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274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274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6D104"/>
    <w:multiLevelType w:val="singleLevel"/>
    <w:tmpl w:val="8236D1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2582E9D"/>
    <w:multiLevelType w:val="singleLevel"/>
    <w:tmpl w:val="82582E9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C03015F"/>
    <w:multiLevelType w:val="singleLevel"/>
    <w:tmpl w:val="8C0301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D9886B3"/>
    <w:multiLevelType w:val="singleLevel"/>
    <w:tmpl w:val="9D9886B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9FA0BF7C"/>
    <w:multiLevelType w:val="singleLevel"/>
    <w:tmpl w:val="9FA0BF7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4897B66"/>
    <w:multiLevelType w:val="singleLevel"/>
    <w:tmpl w:val="C4897B6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625A029"/>
    <w:multiLevelType w:val="singleLevel"/>
    <w:tmpl w:val="C625A02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20A6A32"/>
    <w:multiLevelType w:val="singleLevel"/>
    <w:tmpl w:val="E20A6A32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C44BE0C"/>
    <w:multiLevelType w:val="singleLevel"/>
    <w:tmpl w:val="FC44BE0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948851B"/>
    <w:multiLevelType w:val="singleLevel"/>
    <w:tmpl w:val="3948851B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8CEB50F"/>
    <w:multiLevelType w:val="singleLevel"/>
    <w:tmpl w:val="48CEB50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31E59D5"/>
    <w:multiLevelType w:val="singleLevel"/>
    <w:tmpl w:val="531E59D5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32F2E8A"/>
    <w:multiLevelType w:val="singleLevel"/>
    <w:tmpl w:val="632F2E8A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89C16AE"/>
    <w:multiLevelType w:val="singleLevel"/>
    <w:tmpl w:val="689C16AE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7F232E8B"/>
    <w:multiLevelType w:val="singleLevel"/>
    <w:tmpl w:val="7F232E8B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5"/>
  </w:num>
  <w:num w:numId="12">
    <w:abstractNumId w:val="0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04"/>
    <w:rsid w:val="000D1E04"/>
    <w:rsid w:val="00156BBF"/>
    <w:rsid w:val="002D6A91"/>
    <w:rsid w:val="00B916C3"/>
    <w:rsid w:val="00F51004"/>
    <w:rsid w:val="08FB3A1D"/>
    <w:rsid w:val="0AE179D8"/>
    <w:rsid w:val="0CAE57E6"/>
    <w:rsid w:val="0F3B635C"/>
    <w:rsid w:val="10AB08F4"/>
    <w:rsid w:val="19D8128E"/>
    <w:rsid w:val="214E7343"/>
    <w:rsid w:val="21683CF1"/>
    <w:rsid w:val="241C6A54"/>
    <w:rsid w:val="35DF45A1"/>
    <w:rsid w:val="37991F64"/>
    <w:rsid w:val="37C404E8"/>
    <w:rsid w:val="416D24A3"/>
    <w:rsid w:val="4230396D"/>
    <w:rsid w:val="4771604B"/>
    <w:rsid w:val="4A183041"/>
    <w:rsid w:val="4B2556C2"/>
    <w:rsid w:val="58BA3146"/>
    <w:rsid w:val="5C6C0FCA"/>
    <w:rsid w:val="5ECC27B4"/>
    <w:rsid w:val="611C287B"/>
    <w:rsid w:val="67FF1EAE"/>
    <w:rsid w:val="68C675B6"/>
    <w:rsid w:val="6FC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2399</Words>
  <Characters>2706</Characters>
  <Lines>60</Lines>
  <Paragraphs>27</Paragraphs>
  <TotalTime>2</TotalTime>
  <ScaleCrop>false</ScaleCrop>
  <LinksUpToDate>false</LinksUpToDate>
  <CharactersWithSpaces>2969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2025-11-05T05:09:00Z</dcterms:created>
  <dc:creator>Un-named</dc:creator>
  <cp:lastModifiedBy>あ.</cp:lastModifiedBy>
  <cp:lastPrinted>2025-11-11T04:23:00Z</cp:lastPrinted>
  <dcterms:modified xsi:type="dcterms:W3CDTF">2025-12-02T07:46:28Z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eyJoZGlkIjoiODA5OTI2M2ZmNjkyYmUwMTM3OWNjMjM2ODIwOTRmMWQiLCJ1c2VySWQiOiIxMzk2NDMyMDk4In0=</vt:lpwstr>
  </property>
  <property fmtid="{D5CDD505-2E9C-101B-9397-08002B2CF9AE}" pid="3" name="KSOProductBuildVer">
    <vt:lpwstr>2052-12.1.0.24034</vt:lpwstr>
  </property>
  <property fmtid="{D5CDD505-2E9C-101B-9397-08002B2CF9AE}" pid="4" name="ICV">
    <vt:lpwstr>10B7D06C0405465A94EA7A63EC557BD5_12</vt:lpwstr>
  </property>
</Properties>
</file>