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2025FW140</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大安院区七氟丙烷气瓶检测充装服务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11641050"/>
      <w:bookmarkStart w:id="2" w:name="_Toc25875"/>
      <w:bookmarkStart w:id="3" w:name="_Toc12789052"/>
      <w:bookmarkStart w:id="4" w:name="_Toc485108766"/>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大安院区七氟丙烷气瓶检测充装服务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大安院区七氟丙烷气瓶检测充装服务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：医院自筹,预算金额：13.2万元。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w:t>
      </w:r>
      <w:bookmarkStart w:id="190" w:name="_GoBack"/>
      <w:bookmarkEnd w:id="190"/>
      <w:r>
        <w:rPr>
          <w:rFonts w:hint="eastAsia" w:ascii="宋体" w:hAnsi="宋体" w:eastAsia="宋体" w:cs="宋体"/>
          <w:color w:val="000000" w:themeColor="text1"/>
          <w:sz w:val="24"/>
          <w:szCs w:val="24"/>
          <w:shd w:val="clear" w:color="auto" w:fill="auto"/>
          <w14:textFill>
            <w14:solidFill>
              <w14:schemeClr w14:val="tx1"/>
            </w14:solidFill>
          </w14:textFill>
        </w:rPr>
        <w:t>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47DF5BDD">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服务方须具备相应的从业资质，服务方开展的各项工作须符合国家相关规范、标准</w:t>
      </w:r>
      <w:r>
        <w:rPr>
          <w:rFonts w:hint="eastAsia" w:ascii="宋体" w:hAnsi="宋体" w:eastAsia="宋体" w:cs="宋体"/>
          <w:color w:val="FF0000"/>
          <w:sz w:val="24"/>
          <w:szCs w:val="24"/>
          <w:shd w:val="clear" w:color="auto" w:fill="auto"/>
          <w:lang w:eastAsia="zh-CN"/>
        </w:rPr>
        <w:t>。</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tabs>
          <w:tab w:val="left" w:pos="6627"/>
        </w:tabs>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ab/>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1.报价方式：参选报价为包干价，包含但不限于服务费、运输费、保险费、拆装费、调试费、税费等各项费用。(报价表见第六章)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403569780"/>
      <w:bookmarkStart w:id="43" w:name="_Toc179714298"/>
      <w:bookmarkStart w:id="44" w:name="_Toc18122"/>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A359FAE">
      <w:pPr>
        <w:snapToGrid w:val="0"/>
        <w:spacing w:line="400" w:lineRule="exact"/>
        <w:ind w:firstLine="480" w:firstLineChars="200"/>
        <w:rPr>
          <w:rFonts w:hint="eastAsia" w:ascii="宋体" w:hAnsi="宋体" w:eastAsia="宋体" w:cs="宋体"/>
          <w:color w:val="FF0000"/>
          <w:sz w:val="24"/>
          <w:szCs w:val="24"/>
          <w:shd w:val="clear" w:color="auto" w:fill="auto"/>
          <w:lang w:eastAsia="zh-CN"/>
        </w:rPr>
      </w:pPr>
      <w:bookmarkStart w:id="74" w:name="_Toc4364"/>
      <w:bookmarkStart w:id="75" w:name="_Toc17014"/>
      <w:r>
        <w:rPr>
          <w:rFonts w:hint="eastAsia" w:ascii="宋体" w:hAnsi="宋体" w:eastAsia="宋体" w:cs="宋体"/>
          <w:color w:val="FF0000"/>
          <w:sz w:val="24"/>
          <w:szCs w:val="24"/>
          <w:shd w:val="clear" w:color="auto" w:fill="auto"/>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对大安院区39个七氟丙烷气瓶及其药剂开展检测、充装服务。</w:t>
      </w:r>
    </w:p>
    <w:p w14:paraId="285460F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制定气瓶检测工作方案，配合院方完成检测工作，并提供备用气瓶供院方临时使用。</w:t>
      </w:r>
    </w:p>
    <w:p w14:paraId="36D1765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按照采购方要求对39个七氟丙烷气瓶进行检测充装，须符合《气瓶安全技术规程》（TSG 23-2021）及其他国家相关规范；完成后气瓶须张贴气瓶及药剂检测合格证。</w:t>
      </w:r>
    </w:p>
    <w:p w14:paraId="45A9871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在施工过程中，中标方应采取有效的安全措施，保证施工人员和其他人员的人身安全，并承担因安全事故导致的一切经济和法律责任。如有损坏财产须照价赔偿。</w:t>
      </w:r>
    </w:p>
    <w:p w14:paraId="1DBB60E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5、明细清单如下：</w:t>
      </w:r>
    </w:p>
    <w:p w14:paraId="375D55E0">
      <w:pPr>
        <w:jc w:val="center"/>
        <w:rPr>
          <w:rFonts w:ascii="黑体" w:hAnsi="黑体" w:eastAsia="黑体" w:cs="黑体"/>
          <w:sz w:val="30"/>
          <w:szCs w:val="30"/>
        </w:rPr>
      </w:pPr>
      <w:r>
        <w:rPr>
          <w:rFonts w:hint="eastAsia" w:ascii="黑体" w:hAnsi="黑体" w:eastAsia="黑体" w:cs="黑体"/>
          <w:sz w:val="30"/>
          <w:szCs w:val="30"/>
        </w:rPr>
        <w:t>大安院区七氟丙烷数量清单</w:t>
      </w:r>
    </w:p>
    <w:tbl>
      <w:tblPr>
        <w:tblStyle w:val="60"/>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705"/>
        <w:gridCol w:w="987"/>
        <w:gridCol w:w="1163"/>
        <w:gridCol w:w="1737"/>
        <w:gridCol w:w="1802"/>
      </w:tblGrid>
      <w:tr w14:paraId="1EA0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7106010F">
            <w:pPr>
              <w:jc w:val="center"/>
              <w:rPr>
                <w:rFonts w:ascii="宋体" w:hAnsi="宋体" w:cs="宋体"/>
                <w:b/>
                <w:kern w:val="0"/>
                <w:sz w:val="28"/>
                <w:szCs w:val="28"/>
              </w:rPr>
            </w:pPr>
            <w:r>
              <w:rPr>
                <w:rFonts w:hint="eastAsia" w:ascii="宋体" w:hAnsi="宋体" w:cs="宋体"/>
                <w:b/>
                <w:kern w:val="0"/>
                <w:sz w:val="28"/>
                <w:szCs w:val="28"/>
                <w:lang w:bidi="ar"/>
              </w:rPr>
              <w:t>编号</w:t>
            </w:r>
          </w:p>
        </w:tc>
        <w:tc>
          <w:tcPr>
            <w:tcW w:w="2692" w:type="dxa"/>
            <w:gridSpan w:val="2"/>
            <w:tcBorders>
              <w:top w:val="single" w:color="auto" w:sz="4" w:space="0"/>
              <w:left w:val="nil"/>
              <w:bottom w:val="single" w:color="auto" w:sz="4" w:space="0"/>
              <w:right w:val="single" w:color="auto" w:sz="4" w:space="0"/>
            </w:tcBorders>
            <w:vAlign w:val="center"/>
          </w:tcPr>
          <w:p w14:paraId="19677992">
            <w:pPr>
              <w:jc w:val="center"/>
              <w:rPr>
                <w:rFonts w:ascii="宋体" w:hAnsi="宋体" w:cs="宋体"/>
                <w:b/>
                <w:kern w:val="0"/>
                <w:sz w:val="28"/>
                <w:szCs w:val="28"/>
              </w:rPr>
            </w:pPr>
            <w:r>
              <w:rPr>
                <w:rFonts w:hint="eastAsia" w:ascii="宋体" w:hAnsi="宋体" w:cs="宋体"/>
                <w:b/>
                <w:kern w:val="0"/>
                <w:sz w:val="28"/>
                <w:szCs w:val="28"/>
                <w:lang w:bidi="ar"/>
              </w:rPr>
              <w:t>位置</w:t>
            </w:r>
          </w:p>
        </w:tc>
        <w:tc>
          <w:tcPr>
            <w:tcW w:w="1163" w:type="dxa"/>
            <w:tcBorders>
              <w:top w:val="single" w:color="auto" w:sz="4" w:space="0"/>
              <w:left w:val="nil"/>
              <w:bottom w:val="single" w:color="auto" w:sz="4" w:space="0"/>
              <w:right w:val="single" w:color="auto" w:sz="4" w:space="0"/>
            </w:tcBorders>
            <w:vAlign w:val="center"/>
          </w:tcPr>
          <w:p w14:paraId="74AFF2C1">
            <w:pPr>
              <w:jc w:val="center"/>
              <w:rPr>
                <w:rFonts w:ascii="宋体" w:hAnsi="宋体" w:cs="宋体"/>
                <w:b/>
                <w:kern w:val="0"/>
                <w:sz w:val="28"/>
                <w:szCs w:val="28"/>
              </w:rPr>
            </w:pPr>
            <w:r>
              <w:rPr>
                <w:rFonts w:hint="eastAsia" w:ascii="宋体" w:hAnsi="宋体" w:cs="宋体"/>
                <w:b/>
                <w:kern w:val="0"/>
                <w:sz w:val="28"/>
                <w:szCs w:val="28"/>
                <w:lang w:bidi="ar"/>
              </w:rPr>
              <w:t>数量</w:t>
            </w:r>
          </w:p>
        </w:tc>
        <w:tc>
          <w:tcPr>
            <w:tcW w:w="1737" w:type="dxa"/>
            <w:tcBorders>
              <w:top w:val="single" w:color="auto" w:sz="4" w:space="0"/>
              <w:left w:val="nil"/>
              <w:bottom w:val="single" w:color="auto" w:sz="4" w:space="0"/>
              <w:right w:val="single" w:color="auto" w:sz="4" w:space="0"/>
            </w:tcBorders>
            <w:vAlign w:val="center"/>
          </w:tcPr>
          <w:p w14:paraId="61733C37">
            <w:pPr>
              <w:jc w:val="center"/>
              <w:rPr>
                <w:rFonts w:ascii="宋体" w:hAnsi="宋体" w:cs="宋体"/>
                <w:b/>
                <w:kern w:val="0"/>
                <w:sz w:val="28"/>
                <w:szCs w:val="28"/>
              </w:rPr>
            </w:pPr>
            <w:r>
              <w:rPr>
                <w:rFonts w:hint="eastAsia" w:ascii="宋体" w:hAnsi="宋体" w:cs="宋体"/>
                <w:b/>
                <w:kern w:val="0"/>
                <w:sz w:val="28"/>
                <w:szCs w:val="28"/>
              </w:rPr>
              <w:t>钢瓶容积</w:t>
            </w:r>
          </w:p>
        </w:tc>
        <w:tc>
          <w:tcPr>
            <w:tcW w:w="1802" w:type="dxa"/>
            <w:tcBorders>
              <w:top w:val="single" w:color="auto" w:sz="4" w:space="0"/>
              <w:left w:val="nil"/>
              <w:bottom w:val="single" w:color="auto" w:sz="4" w:space="0"/>
              <w:right w:val="single" w:color="auto" w:sz="4" w:space="0"/>
            </w:tcBorders>
            <w:vAlign w:val="center"/>
          </w:tcPr>
          <w:p w14:paraId="649ABC6C">
            <w:pPr>
              <w:jc w:val="center"/>
              <w:rPr>
                <w:rFonts w:ascii="宋体" w:hAnsi="宋体" w:cs="宋体"/>
                <w:b/>
                <w:kern w:val="0"/>
                <w:sz w:val="28"/>
                <w:szCs w:val="28"/>
              </w:rPr>
            </w:pPr>
            <w:r>
              <w:rPr>
                <w:rFonts w:hint="eastAsia" w:ascii="宋体" w:hAnsi="宋体" w:cs="宋体"/>
                <w:b/>
                <w:kern w:val="0"/>
                <w:sz w:val="28"/>
                <w:szCs w:val="28"/>
                <w:lang w:bidi="ar"/>
              </w:rPr>
              <w:t>充装重量</w:t>
            </w:r>
          </w:p>
        </w:tc>
      </w:tr>
      <w:tr w14:paraId="5739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25444398">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369D6E81">
            <w:pPr>
              <w:rPr>
                <w:sz w:val="24"/>
              </w:rPr>
            </w:pPr>
            <w:r>
              <w:rPr>
                <w:rFonts w:hint="eastAsia"/>
                <w:sz w:val="24"/>
              </w:rPr>
              <w:t>负一层档案室储瓶间</w:t>
            </w:r>
          </w:p>
        </w:tc>
        <w:tc>
          <w:tcPr>
            <w:tcW w:w="1163" w:type="dxa"/>
            <w:tcBorders>
              <w:top w:val="single" w:color="auto" w:sz="4" w:space="0"/>
              <w:left w:val="nil"/>
              <w:bottom w:val="single" w:color="auto" w:sz="4" w:space="0"/>
              <w:right w:val="single" w:color="auto" w:sz="4" w:space="0"/>
            </w:tcBorders>
            <w:vAlign w:val="center"/>
          </w:tcPr>
          <w:p w14:paraId="4B2052A1">
            <w:pPr>
              <w:jc w:val="center"/>
              <w:rPr>
                <w:sz w:val="24"/>
              </w:rPr>
            </w:pPr>
            <w:r>
              <w:rPr>
                <w:rFonts w:hint="eastAsia"/>
                <w:sz w:val="24"/>
              </w:rPr>
              <w:t>14</w:t>
            </w:r>
          </w:p>
        </w:tc>
        <w:tc>
          <w:tcPr>
            <w:tcW w:w="1737" w:type="dxa"/>
            <w:tcBorders>
              <w:top w:val="single" w:color="auto" w:sz="4" w:space="0"/>
              <w:left w:val="nil"/>
              <w:bottom w:val="single" w:color="auto" w:sz="4" w:space="0"/>
              <w:right w:val="single" w:color="auto" w:sz="4" w:space="0"/>
            </w:tcBorders>
            <w:vAlign w:val="center"/>
          </w:tcPr>
          <w:p w14:paraId="78C061A6">
            <w:pPr>
              <w:jc w:val="center"/>
              <w:rPr>
                <w:sz w:val="24"/>
              </w:rPr>
            </w:pPr>
            <w:r>
              <w:rPr>
                <w:rFonts w:hint="eastAsia"/>
                <w:sz w:val="24"/>
              </w:rPr>
              <w:t>150</w:t>
            </w:r>
          </w:p>
        </w:tc>
        <w:tc>
          <w:tcPr>
            <w:tcW w:w="1802" w:type="dxa"/>
            <w:tcBorders>
              <w:top w:val="single" w:color="auto" w:sz="4" w:space="0"/>
              <w:left w:val="nil"/>
              <w:bottom w:val="single" w:color="auto" w:sz="4" w:space="0"/>
              <w:right w:val="single" w:color="auto" w:sz="4" w:space="0"/>
            </w:tcBorders>
            <w:vAlign w:val="center"/>
          </w:tcPr>
          <w:p w14:paraId="4649FDA3">
            <w:pPr>
              <w:jc w:val="center"/>
              <w:rPr>
                <w:sz w:val="24"/>
              </w:rPr>
            </w:pPr>
            <w:r>
              <w:rPr>
                <w:rFonts w:hint="eastAsia"/>
                <w:sz w:val="24"/>
              </w:rPr>
              <w:t>142.5</w:t>
            </w:r>
          </w:p>
        </w:tc>
      </w:tr>
      <w:tr w14:paraId="7BCA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495D2788">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1557A9DD">
            <w:pPr>
              <w:rPr>
                <w:rFonts w:ascii="Calibri" w:hAnsi="Calibri"/>
                <w:sz w:val="24"/>
              </w:rPr>
            </w:pPr>
            <w:r>
              <w:rPr>
                <w:rFonts w:hint="eastAsia"/>
                <w:sz w:val="24"/>
              </w:rPr>
              <w:t>负一层配电室储瓶间</w:t>
            </w:r>
          </w:p>
        </w:tc>
        <w:tc>
          <w:tcPr>
            <w:tcW w:w="1163" w:type="dxa"/>
            <w:tcBorders>
              <w:top w:val="single" w:color="auto" w:sz="4" w:space="0"/>
              <w:left w:val="nil"/>
              <w:bottom w:val="single" w:color="auto" w:sz="4" w:space="0"/>
              <w:right w:val="single" w:color="auto" w:sz="4" w:space="0"/>
            </w:tcBorders>
            <w:vAlign w:val="center"/>
          </w:tcPr>
          <w:p w14:paraId="55DAF47E">
            <w:pPr>
              <w:jc w:val="center"/>
              <w:rPr>
                <w:sz w:val="24"/>
              </w:rPr>
            </w:pPr>
            <w:r>
              <w:rPr>
                <w:rFonts w:hint="eastAsia"/>
                <w:sz w:val="24"/>
              </w:rPr>
              <w:t>10</w:t>
            </w:r>
          </w:p>
        </w:tc>
        <w:tc>
          <w:tcPr>
            <w:tcW w:w="1737" w:type="dxa"/>
            <w:tcBorders>
              <w:top w:val="single" w:color="auto" w:sz="4" w:space="0"/>
              <w:left w:val="nil"/>
              <w:bottom w:val="single" w:color="auto" w:sz="4" w:space="0"/>
              <w:right w:val="single" w:color="auto" w:sz="4" w:space="0"/>
            </w:tcBorders>
            <w:vAlign w:val="center"/>
          </w:tcPr>
          <w:p w14:paraId="7F2675F3">
            <w:pPr>
              <w:jc w:val="center"/>
              <w:rPr>
                <w:sz w:val="24"/>
              </w:rPr>
            </w:pPr>
            <w:r>
              <w:rPr>
                <w:rFonts w:hint="eastAsia"/>
                <w:sz w:val="24"/>
              </w:rPr>
              <w:t>150</w:t>
            </w:r>
          </w:p>
        </w:tc>
        <w:tc>
          <w:tcPr>
            <w:tcW w:w="1802" w:type="dxa"/>
            <w:tcBorders>
              <w:top w:val="single" w:color="auto" w:sz="4" w:space="0"/>
              <w:left w:val="nil"/>
              <w:bottom w:val="single" w:color="auto" w:sz="4" w:space="0"/>
              <w:right w:val="single" w:color="auto" w:sz="4" w:space="0"/>
            </w:tcBorders>
            <w:vAlign w:val="center"/>
          </w:tcPr>
          <w:p w14:paraId="3A11E3CA">
            <w:pPr>
              <w:jc w:val="center"/>
              <w:rPr>
                <w:sz w:val="24"/>
              </w:rPr>
            </w:pPr>
            <w:r>
              <w:rPr>
                <w:rFonts w:hint="eastAsia"/>
                <w:sz w:val="24"/>
              </w:rPr>
              <w:t>142.5</w:t>
            </w:r>
          </w:p>
        </w:tc>
      </w:tr>
      <w:tr w14:paraId="1DE6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32DD040D">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3D2CC697">
            <w:pPr>
              <w:rPr>
                <w:sz w:val="24"/>
              </w:rPr>
            </w:pPr>
            <w:r>
              <w:rPr>
                <w:rFonts w:hint="eastAsia"/>
                <w:sz w:val="24"/>
              </w:rPr>
              <w:t>负一层发电机房储油间</w:t>
            </w:r>
          </w:p>
        </w:tc>
        <w:tc>
          <w:tcPr>
            <w:tcW w:w="1163" w:type="dxa"/>
            <w:tcBorders>
              <w:top w:val="single" w:color="auto" w:sz="4" w:space="0"/>
              <w:left w:val="nil"/>
              <w:bottom w:val="single" w:color="auto" w:sz="4" w:space="0"/>
              <w:right w:val="single" w:color="auto" w:sz="4" w:space="0"/>
            </w:tcBorders>
            <w:vAlign w:val="center"/>
          </w:tcPr>
          <w:p w14:paraId="24B0F741">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11AAB67B">
            <w:pPr>
              <w:jc w:val="center"/>
              <w:rPr>
                <w:sz w:val="24"/>
              </w:rPr>
            </w:pPr>
            <w:r>
              <w:rPr>
                <w:rFonts w:hint="eastAsia"/>
                <w:sz w:val="24"/>
              </w:rPr>
              <w:t>70</w:t>
            </w:r>
          </w:p>
        </w:tc>
        <w:tc>
          <w:tcPr>
            <w:tcW w:w="1802" w:type="dxa"/>
            <w:tcBorders>
              <w:top w:val="single" w:color="auto" w:sz="4" w:space="0"/>
              <w:left w:val="nil"/>
              <w:bottom w:val="single" w:color="auto" w:sz="4" w:space="0"/>
              <w:right w:val="single" w:color="auto" w:sz="4" w:space="0"/>
            </w:tcBorders>
            <w:vAlign w:val="center"/>
          </w:tcPr>
          <w:p w14:paraId="30203163">
            <w:pPr>
              <w:jc w:val="center"/>
              <w:rPr>
                <w:sz w:val="24"/>
              </w:rPr>
            </w:pPr>
            <w:r>
              <w:rPr>
                <w:rFonts w:hint="eastAsia"/>
                <w:sz w:val="24"/>
              </w:rPr>
              <w:t>61</w:t>
            </w:r>
          </w:p>
        </w:tc>
      </w:tr>
      <w:tr w14:paraId="2FF3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07832B18">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07390952">
            <w:pPr>
              <w:rPr>
                <w:sz w:val="24"/>
              </w:rPr>
            </w:pPr>
            <w:r>
              <w:rPr>
                <w:rFonts w:hint="eastAsia"/>
                <w:sz w:val="24"/>
              </w:rPr>
              <w:t>一层放射科MRI</w:t>
            </w:r>
          </w:p>
        </w:tc>
        <w:tc>
          <w:tcPr>
            <w:tcW w:w="1163" w:type="dxa"/>
            <w:tcBorders>
              <w:top w:val="single" w:color="auto" w:sz="4" w:space="0"/>
              <w:left w:val="nil"/>
              <w:bottom w:val="single" w:color="auto" w:sz="4" w:space="0"/>
              <w:right w:val="single" w:color="auto" w:sz="4" w:space="0"/>
            </w:tcBorders>
            <w:vAlign w:val="center"/>
          </w:tcPr>
          <w:p w14:paraId="15B11BC1">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737FE96C">
            <w:pPr>
              <w:jc w:val="center"/>
              <w:rPr>
                <w:sz w:val="24"/>
              </w:rPr>
            </w:pPr>
            <w:r>
              <w:rPr>
                <w:rFonts w:hint="eastAsia"/>
                <w:sz w:val="24"/>
              </w:rPr>
              <w:t>150</w:t>
            </w:r>
          </w:p>
        </w:tc>
        <w:tc>
          <w:tcPr>
            <w:tcW w:w="1802" w:type="dxa"/>
            <w:tcBorders>
              <w:top w:val="single" w:color="auto" w:sz="4" w:space="0"/>
              <w:left w:val="nil"/>
              <w:bottom w:val="single" w:color="auto" w:sz="4" w:space="0"/>
              <w:right w:val="single" w:color="auto" w:sz="4" w:space="0"/>
            </w:tcBorders>
            <w:vAlign w:val="center"/>
          </w:tcPr>
          <w:p w14:paraId="5E4EB883">
            <w:pPr>
              <w:jc w:val="center"/>
              <w:rPr>
                <w:sz w:val="24"/>
              </w:rPr>
            </w:pPr>
            <w:r>
              <w:rPr>
                <w:rFonts w:hint="eastAsia"/>
                <w:sz w:val="24"/>
              </w:rPr>
              <w:t>114</w:t>
            </w:r>
          </w:p>
        </w:tc>
      </w:tr>
      <w:tr w14:paraId="1364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76BD9102">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73D89C88">
            <w:pPr>
              <w:rPr>
                <w:sz w:val="24"/>
              </w:rPr>
            </w:pPr>
            <w:r>
              <w:rPr>
                <w:rFonts w:hint="eastAsia"/>
                <w:sz w:val="24"/>
              </w:rPr>
              <w:t>一层放射科CT</w:t>
            </w:r>
          </w:p>
        </w:tc>
        <w:tc>
          <w:tcPr>
            <w:tcW w:w="1163" w:type="dxa"/>
            <w:tcBorders>
              <w:top w:val="single" w:color="auto" w:sz="4" w:space="0"/>
              <w:left w:val="nil"/>
              <w:bottom w:val="single" w:color="auto" w:sz="4" w:space="0"/>
              <w:right w:val="single" w:color="auto" w:sz="4" w:space="0"/>
            </w:tcBorders>
            <w:vAlign w:val="center"/>
          </w:tcPr>
          <w:p w14:paraId="766668D0">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542BAD32">
            <w:pPr>
              <w:jc w:val="center"/>
              <w:rPr>
                <w:sz w:val="24"/>
              </w:rPr>
            </w:pPr>
            <w:r>
              <w:rPr>
                <w:rFonts w:hint="eastAsia"/>
                <w:sz w:val="24"/>
              </w:rPr>
              <w:t>70</w:t>
            </w:r>
          </w:p>
        </w:tc>
        <w:tc>
          <w:tcPr>
            <w:tcW w:w="1802" w:type="dxa"/>
            <w:tcBorders>
              <w:top w:val="single" w:color="auto" w:sz="4" w:space="0"/>
              <w:left w:val="nil"/>
              <w:bottom w:val="single" w:color="auto" w:sz="4" w:space="0"/>
              <w:right w:val="single" w:color="auto" w:sz="4" w:space="0"/>
            </w:tcBorders>
            <w:vAlign w:val="center"/>
          </w:tcPr>
          <w:p w14:paraId="29BF4BFA">
            <w:pPr>
              <w:jc w:val="center"/>
              <w:rPr>
                <w:rFonts w:ascii="Calibri" w:hAnsi="Calibri"/>
                <w:sz w:val="24"/>
              </w:rPr>
            </w:pPr>
            <w:r>
              <w:rPr>
                <w:rFonts w:hint="eastAsia"/>
                <w:sz w:val="24"/>
              </w:rPr>
              <w:t>79</w:t>
            </w:r>
          </w:p>
        </w:tc>
      </w:tr>
      <w:tr w14:paraId="110A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12CF370B">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57BDA82C">
            <w:pPr>
              <w:rPr>
                <w:sz w:val="24"/>
              </w:rPr>
            </w:pPr>
            <w:r>
              <w:rPr>
                <w:rFonts w:hint="eastAsia"/>
                <w:sz w:val="24"/>
              </w:rPr>
              <w:t>一层放射科CT</w:t>
            </w:r>
          </w:p>
        </w:tc>
        <w:tc>
          <w:tcPr>
            <w:tcW w:w="1163" w:type="dxa"/>
            <w:tcBorders>
              <w:top w:val="single" w:color="auto" w:sz="4" w:space="0"/>
              <w:left w:val="nil"/>
              <w:bottom w:val="single" w:color="auto" w:sz="4" w:space="0"/>
              <w:right w:val="single" w:color="auto" w:sz="4" w:space="0"/>
            </w:tcBorders>
            <w:vAlign w:val="center"/>
          </w:tcPr>
          <w:p w14:paraId="7ECCD882">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74A4D402">
            <w:pPr>
              <w:jc w:val="center"/>
              <w:rPr>
                <w:sz w:val="24"/>
              </w:rPr>
            </w:pPr>
            <w:r>
              <w:rPr>
                <w:rFonts w:hint="eastAsia"/>
                <w:sz w:val="24"/>
              </w:rPr>
              <w:t>70</w:t>
            </w:r>
          </w:p>
        </w:tc>
        <w:tc>
          <w:tcPr>
            <w:tcW w:w="1802" w:type="dxa"/>
            <w:tcBorders>
              <w:top w:val="single" w:color="auto" w:sz="4" w:space="0"/>
              <w:left w:val="nil"/>
              <w:bottom w:val="single" w:color="auto" w:sz="4" w:space="0"/>
              <w:right w:val="single" w:color="auto" w:sz="4" w:space="0"/>
            </w:tcBorders>
            <w:vAlign w:val="center"/>
          </w:tcPr>
          <w:p w14:paraId="6FF3885A">
            <w:pPr>
              <w:jc w:val="center"/>
              <w:rPr>
                <w:rFonts w:ascii="Calibri" w:hAnsi="Calibri"/>
                <w:sz w:val="24"/>
              </w:rPr>
            </w:pPr>
            <w:r>
              <w:rPr>
                <w:rFonts w:hint="eastAsia"/>
                <w:sz w:val="24"/>
              </w:rPr>
              <w:t>79</w:t>
            </w:r>
          </w:p>
        </w:tc>
      </w:tr>
      <w:tr w14:paraId="6CD0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37B1DC5B">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764EBAD3">
            <w:pPr>
              <w:rPr>
                <w:sz w:val="24"/>
              </w:rPr>
            </w:pPr>
            <w:r>
              <w:rPr>
                <w:rFonts w:hint="eastAsia"/>
                <w:sz w:val="24"/>
              </w:rPr>
              <w:t>一层放射科CT</w:t>
            </w:r>
          </w:p>
        </w:tc>
        <w:tc>
          <w:tcPr>
            <w:tcW w:w="1163" w:type="dxa"/>
            <w:tcBorders>
              <w:top w:val="single" w:color="auto" w:sz="4" w:space="0"/>
              <w:left w:val="nil"/>
              <w:bottom w:val="single" w:color="auto" w:sz="4" w:space="0"/>
              <w:right w:val="single" w:color="auto" w:sz="4" w:space="0"/>
            </w:tcBorders>
            <w:vAlign w:val="center"/>
          </w:tcPr>
          <w:p w14:paraId="1491424B">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71B680A1">
            <w:pPr>
              <w:jc w:val="center"/>
              <w:rPr>
                <w:sz w:val="24"/>
              </w:rPr>
            </w:pPr>
            <w:r>
              <w:rPr>
                <w:rFonts w:hint="eastAsia"/>
                <w:sz w:val="24"/>
              </w:rPr>
              <w:t>70</w:t>
            </w:r>
          </w:p>
        </w:tc>
        <w:tc>
          <w:tcPr>
            <w:tcW w:w="1802" w:type="dxa"/>
            <w:tcBorders>
              <w:top w:val="single" w:color="auto" w:sz="4" w:space="0"/>
              <w:left w:val="nil"/>
              <w:bottom w:val="single" w:color="auto" w:sz="4" w:space="0"/>
              <w:right w:val="single" w:color="auto" w:sz="4" w:space="0"/>
            </w:tcBorders>
            <w:vAlign w:val="center"/>
          </w:tcPr>
          <w:p w14:paraId="39CDCA03">
            <w:pPr>
              <w:jc w:val="center"/>
              <w:rPr>
                <w:rFonts w:ascii="Calibri" w:hAnsi="Calibri"/>
                <w:sz w:val="24"/>
              </w:rPr>
            </w:pPr>
            <w:r>
              <w:rPr>
                <w:rFonts w:hint="eastAsia"/>
                <w:sz w:val="24"/>
              </w:rPr>
              <w:t>41</w:t>
            </w:r>
          </w:p>
        </w:tc>
      </w:tr>
      <w:tr w14:paraId="3D6A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357B5087">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427742E5">
            <w:pPr>
              <w:rPr>
                <w:sz w:val="24"/>
              </w:rPr>
            </w:pPr>
            <w:r>
              <w:rPr>
                <w:rFonts w:hint="eastAsia"/>
                <w:sz w:val="24"/>
              </w:rPr>
              <w:t>一层放射科DR</w:t>
            </w:r>
          </w:p>
        </w:tc>
        <w:tc>
          <w:tcPr>
            <w:tcW w:w="1163" w:type="dxa"/>
            <w:tcBorders>
              <w:top w:val="single" w:color="auto" w:sz="4" w:space="0"/>
              <w:left w:val="nil"/>
              <w:bottom w:val="single" w:color="auto" w:sz="4" w:space="0"/>
              <w:right w:val="single" w:color="auto" w:sz="4" w:space="0"/>
            </w:tcBorders>
            <w:vAlign w:val="center"/>
          </w:tcPr>
          <w:p w14:paraId="6BCB4092">
            <w:pPr>
              <w:jc w:val="center"/>
              <w:rPr>
                <w:rFonts w:ascii="Calibri" w:hAnsi="Calibri"/>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25127EE6">
            <w:pPr>
              <w:jc w:val="center"/>
              <w:rPr>
                <w:rFonts w:ascii="Calibri" w:hAnsi="Calibri"/>
                <w:sz w:val="24"/>
              </w:rPr>
            </w:pPr>
            <w:r>
              <w:rPr>
                <w:rFonts w:hint="eastAsia"/>
                <w:sz w:val="24"/>
              </w:rPr>
              <w:t>120</w:t>
            </w:r>
          </w:p>
        </w:tc>
        <w:tc>
          <w:tcPr>
            <w:tcW w:w="1802" w:type="dxa"/>
            <w:tcBorders>
              <w:top w:val="single" w:color="auto" w:sz="4" w:space="0"/>
              <w:left w:val="nil"/>
              <w:bottom w:val="single" w:color="auto" w:sz="4" w:space="0"/>
              <w:right w:val="single" w:color="auto" w:sz="4" w:space="0"/>
            </w:tcBorders>
            <w:vAlign w:val="center"/>
          </w:tcPr>
          <w:p w14:paraId="2BAD09F7">
            <w:pPr>
              <w:jc w:val="center"/>
              <w:rPr>
                <w:sz w:val="24"/>
              </w:rPr>
            </w:pPr>
            <w:r>
              <w:rPr>
                <w:rFonts w:hint="eastAsia"/>
                <w:sz w:val="24"/>
              </w:rPr>
              <w:t>101</w:t>
            </w:r>
          </w:p>
        </w:tc>
      </w:tr>
      <w:tr w14:paraId="3240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73C783DB">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53C61B5C">
            <w:pPr>
              <w:rPr>
                <w:sz w:val="24"/>
              </w:rPr>
            </w:pPr>
            <w:r>
              <w:rPr>
                <w:rFonts w:hint="eastAsia"/>
                <w:sz w:val="24"/>
              </w:rPr>
              <w:t>一层放射科胃肠DR</w:t>
            </w:r>
          </w:p>
        </w:tc>
        <w:tc>
          <w:tcPr>
            <w:tcW w:w="1163" w:type="dxa"/>
            <w:tcBorders>
              <w:top w:val="single" w:color="auto" w:sz="4" w:space="0"/>
              <w:left w:val="nil"/>
              <w:bottom w:val="single" w:color="auto" w:sz="4" w:space="0"/>
              <w:right w:val="single" w:color="auto" w:sz="4" w:space="0"/>
            </w:tcBorders>
            <w:vAlign w:val="center"/>
          </w:tcPr>
          <w:p w14:paraId="378D1303">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51E1FA0D">
            <w:pPr>
              <w:jc w:val="center"/>
              <w:rPr>
                <w:sz w:val="24"/>
              </w:rPr>
            </w:pPr>
            <w:r>
              <w:rPr>
                <w:rFonts w:hint="eastAsia"/>
                <w:sz w:val="24"/>
              </w:rPr>
              <w:t>120</w:t>
            </w:r>
          </w:p>
        </w:tc>
        <w:tc>
          <w:tcPr>
            <w:tcW w:w="1802" w:type="dxa"/>
            <w:tcBorders>
              <w:top w:val="single" w:color="auto" w:sz="4" w:space="0"/>
              <w:left w:val="nil"/>
              <w:bottom w:val="single" w:color="auto" w:sz="4" w:space="0"/>
              <w:right w:val="single" w:color="auto" w:sz="4" w:space="0"/>
            </w:tcBorders>
            <w:vAlign w:val="center"/>
          </w:tcPr>
          <w:p w14:paraId="5CA122EE">
            <w:pPr>
              <w:jc w:val="center"/>
              <w:rPr>
                <w:sz w:val="24"/>
              </w:rPr>
            </w:pPr>
            <w:r>
              <w:rPr>
                <w:rFonts w:hint="eastAsia"/>
                <w:sz w:val="24"/>
              </w:rPr>
              <w:t>158</w:t>
            </w:r>
          </w:p>
        </w:tc>
      </w:tr>
      <w:tr w14:paraId="7A0F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2D447406">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39C0D7D9">
            <w:pPr>
              <w:rPr>
                <w:b/>
                <w:bCs/>
                <w:sz w:val="24"/>
              </w:rPr>
            </w:pPr>
            <w:r>
              <w:rPr>
                <w:rFonts w:hint="eastAsia"/>
                <w:sz w:val="24"/>
              </w:rPr>
              <w:t>一层放射科机房</w:t>
            </w:r>
          </w:p>
        </w:tc>
        <w:tc>
          <w:tcPr>
            <w:tcW w:w="1163" w:type="dxa"/>
            <w:tcBorders>
              <w:top w:val="single" w:color="auto" w:sz="4" w:space="0"/>
              <w:left w:val="nil"/>
              <w:bottom w:val="single" w:color="auto" w:sz="4" w:space="0"/>
              <w:right w:val="single" w:color="auto" w:sz="4" w:space="0"/>
            </w:tcBorders>
            <w:vAlign w:val="center"/>
          </w:tcPr>
          <w:p w14:paraId="3FA97E08">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664B810E">
            <w:pPr>
              <w:jc w:val="center"/>
              <w:rPr>
                <w:sz w:val="24"/>
              </w:rPr>
            </w:pPr>
            <w:r>
              <w:rPr>
                <w:rFonts w:hint="eastAsia"/>
                <w:sz w:val="24"/>
              </w:rPr>
              <w:t>90</w:t>
            </w:r>
          </w:p>
        </w:tc>
        <w:tc>
          <w:tcPr>
            <w:tcW w:w="1802" w:type="dxa"/>
            <w:tcBorders>
              <w:top w:val="single" w:color="auto" w:sz="4" w:space="0"/>
              <w:left w:val="nil"/>
              <w:bottom w:val="single" w:color="auto" w:sz="4" w:space="0"/>
              <w:right w:val="single" w:color="auto" w:sz="4" w:space="0"/>
            </w:tcBorders>
            <w:vAlign w:val="center"/>
          </w:tcPr>
          <w:p w14:paraId="327C11A4">
            <w:pPr>
              <w:jc w:val="center"/>
              <w:rPr>
                <w:sz w:val="24"/>
              </w:rPr>
            </w:pPr>
            <w:r>
              <w:rPr>
                <w:rFonts w:hint="eastAsia"/>
                <w:sz w:val="24"/>
              </w:rPr>
              <w:t>46</w:t>
            </w:r>
          </w:p>
        </w:tc>
      </w:tr>
      <w:tr w14:paraId="4217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3B725E64">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31C99D2F">
            <w:pPr>
              <w:rPr>
                <w:sz w:val="24"/>
              </w:rPr>
            </w:pPr>
            <w:r>
              <w:rPr>
                <w:rFonts w:hint="eastAsia"/>
                <w:sz w:val="24"/>
              </w:rPr>
              <w:t>一层B区CT室</w:t>
            </w:r>
          </w:p>
        </w:tc>
        <w:tc>
          <w:tcPr>
            <w:tcW w:w="1163" w:type="dxa"/>
            <w:tcBorders>
              <w:top w:val="single" w:color="auto" w:sz="4" w:space="0"/>
              <w:left w:val="nil"/>
              <w:bottom w:val="single" w:color="auto" w:sz="4" w:space="0"/>
              <w:right w:val="single" w:color="auto" w:sz="4" w:space="0"/>
            </w:tcBorders>
            <w:vAlign w:val="center"/>
          </w:tcPr>
          <w:p w14:paraId="6B963955">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71674C2B">
            <w:pPr>
              <w:jc w:val="center"/>
              <w:rPr>
                <w:sz w:val="24"/>
              </w:rPr>
            </w:pPr>
            <w:r>
              <w:rPr>
                <w:rFonts w:hint="eastAsia"/>
                <w:sz w:val="24"/>
              </w:rPr>
              <w:t>120</w:t>
            </w:r>
          </w:p>
        </w:tc>
        <w:tc>
          <w:tcPr>
            <w:tcW w:w="1802" w:type="dxa"/>
            <w:tcBorders>
              <w:top w:val="single" w:color="auto" w:sz="4" w:space="0"/>
              <w:left w:val="nil"/>
              <w:bottom w:val="single" w:color="auto" w:sz="4" w:space="0"/>
              <w:right w:val="single" w:color="auto" w:sz="4" w:space="0"/>
            </w:tcBorders>
            <w:vAlign w:val="center"/>
          </w:tcPr>
          <w:p w14:paraId="536B699E">
            <w:pPr>
              <w:jc w:val="center"/>
              <w:rPr>
                <w:rFonts w:ascii="Calibri" w:hAnsi="Calibri"/>
                <w:sz w:val="24"/>
              </w:rPr>
            </w:pPr>
            <w:r>
              <w:rPr>
                <w:rFonts w:hint="eastAsia"/>
                <w:sz w:val="24"/>
              </w:rPr>
              <w:t>114</w:t>
            </w:r>
          </w:p>
        </w:tc>
      </w:tr>
      <w:tr w14:paraId="277F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51DF3228">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151A4D5C">
            <w:pPr>
              <w:rPr>
                <w:sz w:val="24"/>
              </w:rPr>
            </w:pPr>
            <w:r>
              <w:rPr>
                <w:rFonts w:hint="eastAsia"/>
                <w:sz w:val="24"/>
              </w:rPr>
              <w:t>一层B区CT室</w:t>
            </w:r>
          </w:p>
        </w:tc>
        <w:tc>
          <w:tcPr>
            <w:tcW w:w="1163" w:type="dxa"/>
            <w:tcBorders>
              <w:top w:val="single" w:color="auto" w:sz="4" w:space="0"/>
              <w:left w:val="nil"/>
              <w:bottom w:val="single" w:color="auto" w:sz="4" w:space="0"/>
              <w:right w:val="single" w:color="auto" w:sz="4" w:space="0"/>
            </w:tcBorders>
            <w:vAlign w:val="center"/>
          </w:tcPr>
          <w:p w14:paraId="5FBB5E01">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3080C56F">
            <w:pPr>
              <w:jc w:val="center"/>
              <w:rPr>
                <w:sz w:val="24"/>
              </w:rPr>
            </w:pPr>
            <w:r>
              <w:rPr>
                <w:rFonts w:hint="eastAsia"/>
                <w:sz w:val="24"/>
              </w:rPr>
              <w:t>70</w:t>
            </w:r>
          </w:p>
        </w:tc>
        <w:tc>
          <w:tcPr>
            <w:tcW w:w="1802" w:type="dxa"/>
            <w:tcBorders>
              <w:top w:val="single" w:color="auto" w:sz="4" w:space="0"/>
              <w:left w:val="nil"/>
              <w:bottom w:val="single" w:color="auto" w:sz="4" w:space="0"/>
              <w:right w:val="single" w:color="auto" w:sz="4" w:space="0"/>
            </w:tcBorders>
            <w:vAlign w:val="center"/>
          </w:tcPr>
          <w:p w14:paraId="48BB47EF">
            <w:pPr>
              <w:jc w:val="center"/>
              <w:rPr>
                <w:rFonts w:ascii="Calibri" w:hAnsi="Calibri"/>
                <w:sz w:val="24"/>
              </w:rPr>
            </w:pPr>
            <w:r>
              <w:rPr>
                <w:rFonts w:hint="eastAsia"/>
                <w:sz w:val="24"/>
              </w:rPr>
              <w:t>52</w:t>
            </w:r>
          </w:p>
        </w:tc>
      </w:tr>
      <w:tr w14:paraId="3E52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1E75BAF2">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5684F198">
            <w:pPr>
              <w:rPr>
                <w:sz w:val="24"/>
              </w:rPr>
            </w:pPr>
            <w:r>
              <w:rPr>
                <w:rFonts w:hint="eastAsia"/>
                <w:sz w:val="24"/>
              </w:rPr>
              <w:t>二层办公区网络中心</w:t>
            </w:r>
          </w:p>
        </w:tc>
        <w:tc>
          <w:tcPr>
            <w:tcW w:w="1163" w:type="dxa"/>
            <w:tcBorders>
              <w:top w:val="single" w:color="auto" w:sz="4" w:space="0"/>
              <w:left w:val="nil"/>
              <w:bottom w:val="single" w:color="auto" w:sz="4" w:space="0"/>
              <w:right w:val="single" w:color="auto" w:sz="4" w:space="0"/>
            </w:tcBorders>
            <w:vAlign w:val="center"/>
          </w:tcPr>
          <w:p w14:paraId="53BE2CCE">
            <w:pPr>
              <w:jc w:val="center"/>
              <w:rPr>
                <w:sz w:val="24"/>
              </w:rPr>
            </w:pPr>
            <w:r>
              <w:rPr>
                <w:rFonts w:hint="eastAsia"/>
                <w:sz w:val="24"/>
              </w:rPr>
              <w:t>3</w:t>
            </w:r>
          </w:p>
        </w:tc>
        <w:tc>
          <w:tcPr>
            <w:tcW w:w="1737" w:type="dxa"/>
            <w:tcBorders>
              <w:top w:val="single" w:color="auto" w:sz="4" w:space="0"/>
              <w:left w:val="nil"/>
              <w:bottom w:val="single" w:color="auto" w:sz="4" w:space="0"/>
              <w:right w:val="single" w:color="auto" w:sz="4" w:space="0"/>
            </w:tcBorders>
            <w:vAlign w:val="center"/>
          </w:tcPr>
          <w:p w14:paraId="7201F344">
            <w:pPr>
              <w:jc w:val="center"/>
              <w:rPr>
                <w:sz w:val="24"/>
              </w:rPr>
            </w:pPr>
            <w:r>
              <w:rPr>
                <w:rFonts w:hint="eastAsia"/>
                <w:sz w:val="24"/>
              </w:rPr>
              <w:t>120</w:t>
            </w:r>
          </w:p>
        </w:tc>
        <w:tc>
          <w:tcPr>
            <w:tcW w:w="1802" w:type="dxa"/>
            <w:tcBorders>
              <w:top w:val="single" w:color="auto" w:sz="4" w:space="0"/>
              <w:left w:val="nil"/>
              <w:bottom w:val="single" w:color="auto" w:sz="4" w:space="0"/>
              <w:right w:val="single" w:color="auto" w:sz="4" w:space="0"/>
            </w:tcBorders>
            <w:vAlign w:val="center"/>
          </w:tcPr>
          <w:p w14:paraId="355B5817">
            <w:pPr>
              <w:jc w:val="center"/>
              <w:rPr>
                <w:sz w:val="24"/>
              </w:rPr>
            </w:pPr>
            <w:r>
              <w:rPr>
                <w:rFonts w:hint="eastAsia"/>
                <w:sz w:val="24"/>
              </w:rPr>
              <w:t>119</w:t>
            </w:r>
          </w:p>
        </w:tc>
      </w:tr>
      <w:tr w14:paraId="51CC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26AB0F4E">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2867FDFA">
            <w:pPr>
              <w:rPr>
                <w:sz w:val="24"/>
              </w:rPr>
            </w:pPr>
            <w:r>
              <w:rPr>
                <w:rFonts w:hint="eastAsia"/>
                <w:sz w:val="24"/>
              </w:rPr>
              <w:t>负压病房</w:t>
            </w:r>
          </w:p>
        </w:tc>
        <w:tc>
          <w:tcPr>
            <w:tcW w:w="1163" w:type="dxa"/>
            <w:tcBorders>
              <w:top w:val="single" w:color="auto" w:sz="4" w:space="0"/>
              <w:left w:val="nil"/>
              <w:bottom w:val="single" w:color="auto" w:sz="4" w:space="0"/>
              <w:right w:val="single" w:color="auto" w:sz="4" w:space="0"/>
            </w:tcBorders>
            <w:vAlign w:val="center"/>
          </w:tcPr>
          <w:p w14:paraId="46B0AACC">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65FD83AB">
            <w:pPr>
              <w:jc w:val="center"/>
              <w:rPr>
                <w:sz w:val="24"/>
              </w:rPr>
            </w:pPr>
            <w:r>
              <w:rPr>
                <w:rFonts w:hint="eastAsia"/>
                <w:sz w:val="24"/>
              </w:rPr>
              <w:t>120</w:t>
            </w:r>
          </w:p>
        </w:tc>
        <w:tc>
          <w:tcPr>
            <w:tcW w:w="1802" w:type="dxa"/>
            <w:tcBorders>
              <w:top w:val="single" w:color="auto" w:sz="4" w:space="0"/>
              <w:left w:val="nil"/>
              <w:bottom w:val="single" w:color="auto" w:sz="4" w:space="0"/>
              <w:right w:val="single" w:color="auto" w:sz="4" w:space="0"/>
            </w:tcBorders>
            <w:vAlign w:val="center"/>
          </w:tcPr>
          <w:p w14:paraId="4FBF4EBA">
            <w:pPr>
              <w:jc w:val="center"/>
              <w:rPr>
                <w:sz w:val="24"/>
              </w:rPr>
            </w:pPr>
            <w:r>
              <w:rPr>
                <w:rFonts w:hint="eastAsia"/>
                <w:sz w:val="24"/>
              </w:rPr>
              <w:t>119</w:t>
            </w:r>
          </w:p>
        </w:tc>
      </w:tr>
      <w:tr w14:paraId="3ECC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6D26DC09">
            <w:pPr>
              <w:pStyle w:val="278"/>
              <w:widowControl/>
              <w:numPr>
                <w:ilvl w:val="0"/>
                <w:numId w:val="13"/>
              </w:numPr>
              <w:ind w:firstLineChars="0"/>
              <w:rPr>
                <w:sz w:val="24"/>
                <w:szCs w:val="24"/>
              </w:rPr>
            </w:pPr>
          </w:p>
        </w:tc>
        <w:tc>
          <w:tcPr>
            <w:tcW w:w="2692" w:type="dxa"/>
            <w:gridSpan w:val="2"/>
            <w:tcBorders>
              <w:top w:val="single" w:color="auto" w:sz="4" w:space="0"/>
              <w:left w:val="nil"/>
              <w:bottom w:val="single" w:color="auto" w:sz="4" w:space="0"/>
              <w:right w:val="single" w:color="auto" w:sz="4" w:space="0"/>
            </w:tcBorders>
            <w:vAlign w:val="center"/>
          </w:tcPr>
          <w:p w14:paraId="193C7507">
            <w:pPr>
              <w:rPr>
                <w:sz w:val="24"/>
              </w:rPr>
            </w:pPr>
          </w:p>
        </w:tc>
        <w:tc>
          <w:tcPr>
            <w:tcW w:w="1163" w:type="dxa"/>
            <w:tcBorders>
              <w:top w:val="single" w:color="auto" w:sz="4" w:space="0"/>
              <w:left w:val="nil"/>
              <w:bottom w:val="single" w:color="auto" w:sz="4" w:space="0"/>
              <w:right w:val="single" w:color="auto" w:sz="4" w:space="0"/>
            </w:tcBorders>
            <w:vAlign w:val="center"/>
          </w:tcPr>
          <w:p w14:paraId="475D905D">
            <w:pPr>
              <w:jc w:val="center"/>
              <w:rPr>
                <w:sz w:val="24"/>
              </w:rPr>
            </w:pPr>
            <w:r>
              <w:rPr>
                <w:rFonts w:hint="eastAsia"/>
                <w:sz w:val="24"/>
              </w:rPr>
              <w:t>1</w:t>
            </w:r>
          </w:p>
        </w:tc>
        <w:tc>
          <w:tcPr>
            <w:tcW w:w="1737" w:type="dxa"/>
            <w:tcBorders>
              <w:top w:val="single" w:color="auto" w:sz="4" w:space="0"/>
              <w:left w:val="nil"/>
              <w:bottom w:val="single" w:color="auto" w:sz="4" w:space="0"/>
              <w:right w:val="single" w:color="auto" w:sz="4" w:space="0"/>
            </w:tcBorders>
            <w:vAlign w:val="center"/>
          </w:tcPr>
          <w:p w14:paraId="30BD8ED1">
            <w:pPr>
              <w:jc w:val="center"/>
              <w:rPr>
                <w:sz w:val="24"/>
              </w:rPr>
            </w:pPr>
            <w:r>
              <w:rPr>
                <w:rFonts w:hint="eastAsia"/>
                <w:sz w:val="24"/>
              </w:rPr>
              <w:t>70</w:t>
            </w:r>
          </w:p>
        </w:tc>
        <w:tc>
          <w:tcPr>
            <w:tcW w:w="1802" w:type="dxa"/>
            <w:tcBorders>
              <w:top w:val="single" w:color="auto" w:sz="4" w:space="0"/>
              <w:left w:val="nil"/>
              <w:bottom w:val="single" w:color="auto" w:sz="4" w:space="0"/>
              <w:right w:val="single" w:color="auto" w:sz="4" w:space="0"/>
            </w:tcBorders>
            <w:vAlign w:val="center"/>
          </w:tcPr>
          <w:p w14:paraId="18F6F3D2">
            <w:pPr>
              <w:jc w:val="center"/>
              <w:rPr>
                <w:sz w:val="24"/>
              </w:rPr>
            </w:pPr>
            <w:r>
              <w:rPr>
                <w:rFonts w:hint="eastAsia"/>
                <w:sz w:val="24"/>
              </w:rPr>
              <w:t>52</w:t>
            </w:r>
          </w:p>
        </w:tc>
      </w:tr>
      <w:tr w14:paraId="13B8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1F233D04">
            <w:pPr>
              <w:pStyle w:val="278"/>
              <w:widowControl/>
              <w:numPr>
                <w:ilvl w:val="0"/>
                <w:numId w:val="13"/>
              </w:numPr>
              <w:ind w:firstLineChars="0"/>
              <w:rPr>
                <w:sz w:val="24"/>
                <w:szCs w:val="24"/>
              </w:rPr>
            </w:pPr>
          </w:p>
        </w:tc>
        <w:tc>
          <w:tcPr>
            <w:tcW w:w="1705" w:type="dxa"/>
            <w:tcBorders>
              <w:top w:val="single" w:color="auto" w:sz="4" w:space="0"/>
              <w:left w:val="nil"/>
              <w:bottom w:val="single" w:color="auto" w:sz="4" w:space="0"/>
              <w:right w:val="single" w:color="auto" w:sz="4" w:space="0"/>
            </w:tcBorders>
            <w:vAlign w:val="center"/>
          </w:tcPr>
          <w:p w14:paraId="0C417AAD">
            <w:pPr>
              <w:rPr>
                <w:rFonts w:ascii="Calibri" w:hAnsi="Calibri"/>
                <w:sz w:val="24"/>
              </w:rPr>
            </w:pPr>
          </w:p>
        </w:tc>
        <w:tc>
          <w:tcPr>
            <w:tcW w:w="987" w:type="dxa"/>
            <w:tcBorders>
              <w:top w:val="single" w:color="auto" w:sz="4" w:space="0"/>
              <w:left w:val="single" w:color="auto" w:sz="4" w:space="0"/>
              <w:bottom w:val="single" w:color="auto" w:sz="4" w:space="0"/>
              <w:right w:val="single" w:color="auto" w:sz="4" w:space="0"/>
            </w:tcBorders>
            <w:vAlign w:val="center"/>
          </w:tcPr>
          <w:p w14:paraId="4974169D">
            <w:pPr>
              <w:rPr>
                <w:b/>
                <w:bCs/>
                <w:sz w:val="24"/>
              </w:rPr>
            </w:pPr>
            <w:r>
              <w:rPr>
                <w:rFonts w:hint="eastAsia"/>
                <w:b/>
                <w:bCs/>
                <w:sz w:val="24"/>
              </w:rPr>
              <w:t>合计</w:t>
            </w:r>
          </w:p>
        </w:tc>
        <w:tc>
          <w:tcPr>
            <w:tcW w:w="1163" w:type="dxa"/>
            <w:tcBorders>
              <w:top w:val="single" w:color="auto" w:sz="4" w:space="0"/>
              <w:left w:val="nil"/>
              <w:bottom w:val="single" w:color="auto" w:sz="4" w:space="0"/>
              <w:right w:val="single" w:color="auto" w:sz="4" w:space="0"/>
            </w:tcBorders>
            <w:vAlign w:val="center"/>
          </w:tcPr>
          <w:p w14:paraId="36F9C439">
            <w:pPr>
              <w:jc w:val="center"/>
              <w:rPr>
                <w:sz w:val="24"/>
              </w:rPr>
            </w:pPr>
            <w:r>
              <w:rPr>
                <w:rFonts w:hint="eastAsia"/>
                <w:sz w:val="24"/>
              </w:rPr>
              <w:fldChar w:fldCharType="begin"/>
            </w:r>
            <w:r>
              <w:rPr>
                <w:rFonts w:hint="eastAsia"/>
                <w:sz w:val="24"/>
              </w:rPr>
              <w:instrText xml:space="preserve"> = sum(C2:C16) \* MERGEFORMAT </w:instrText>
            </w:r>
            <w:r>
              <w:rPr>
                <w:rFonts w:hint="eastAsia"/>
                <w:sz w:val="24"/>
              </w:rPr>
              <w:fldChar w:fldCharType="separate"/>
            </w:r>
            <w:r>
              <w:rPr>
                <w:rFonts w:hint="eastAsia"/>
                <w:sz w:val="24"/>
              </w:rPr>
              <w:t>39</w:t>
            </w:r>
            <w:r>
              <w:rPr>
                <w:rFonts w:hint="eastAsia"/>
                <w:sz w:val="24"/>
              </w:rPr>
              <w:fldChar w:fldCharType="end"/>
            </w:r>
          </w:p>
        </w:tc>
        <w:tc>
          <w:tcPr>
            <w:tcW w:w="1737" w:type="dxa"/>
            <w:tcBorders>
              <w:top w:val="single" w:color="auto" w:sz="4" w:space="0"/>
              <w:left w:val="nil"/>
              <w:bottom w:val="single" w:color="auto" w:sz="4" w:space="0"/>
              <w:right w:val="single" w:color="auto" w:sz="4" w:space="0"/>
            </w:tcBorders>
            <w:vAlign w:val="center"/>
          </w:tcPr>
          <w:p w14:paraId="765521F6">
            <w:pPr>
              <w:jc w:val="center"/>
              <w:rPr>
                <w:sz w:val="24"/>
              </w:rPr>
            </w:pPr>
          </w:p>
        </w:tc>
        <w:tc>
          <w:tcPr>
            <w:tcW w:w="1802" w:type="dxa"/>
            <w:tcBorders>
              <w:top w:val="single" w:color="auto" w:sz="4" w:space="0"/>
              <w:left w:val="nil"/>
              <w:bottom w:val="single" w:color="auto" w:sz="4" w:space="0"/>
              <w:right w:val="single" w:color="auto" w:sz="4" w:space="0"/>
            </w:tcBorders>
            <w:vAlign w:val="center"/>
          </w:tcPr>
          <w:p w14:paraId="1AB371C0">
            <w:pPr>
              <w:jc w:val="center"/>
              <w:rPr>
                <w:sz w:val="24"/>
              </w:rPr>
            </w:pPr>
            <w:r>
              <w:rPr>
                <w:rFonts w:hint="eastAsia"/>
                <w:sz w:val="24"/>
              </w:rPr>
              <w:t>4793kg</w:t>
            </w:r>
          </w:p>
        </w:tc>
      </w:tr>
    </w:tbl>
    <w:p w14:paraId="799F175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74F5ACEF">
      <w:pPr>
        <w:snapToGrid w:val="0"/>
        <w:spacing w:line="400" w:lineRule="exact"/>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6FC34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871C35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质量要求：产品质量须符合国家相关的产品质量标准及要求。</w:t>
      </w:r>
    </w:p>
    <w:p w14:paraId="44C78D3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质保期：服务方须保证七氟丙烷气瓶正常运行至下一次检测期。质保期内，如发生事故，经检测属于服务方责任的，服务方应承担相应经济损失和法律责任。</w:t>
      </w:r>
    </w:p>
    <w:p w14:paraId="001BA29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现场勘察：服务方必须到现场进行勘（工作日内），联系人：陈老师，联系电话：13983767021。</w:t>
      </w:r>
    </w:p>
    <w:p w14:paraId="4A08BB4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工期要求：服务合同签订后，服务方应在接到采购方电话通知后20个日历日内完成。</w:t>
      </w:r>
    </w:p>
    <w:p w14:paraId="6F542D7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验收方式：服务完成后，服务方将气瓶（含药剂）运输到采购方，对每个气瓶逐一进行现场称重，称重记录须由采购方管理人员签字确认，向采购方提交完整的气瓶及药剂检测报告（一式两份，加盖公章）。</w:t>
      </w:r>
    </w:p>
    <w:p w14:paraId="30F8F418">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付款方式：</w:t>
      </w:r>
      <w:bookmarkStart w:id="82" w:name="OLE_LINK24"/>
      <w:r>
        <w:rPr>
          <w:rFonts w:hint="eastAsia" w:ascii="宋体" w:hAnsi="宋体" w:eastAsia="宋体" w:cs="宋体"/>
          <w:color w:val="FF0000"/>
          <w:sz w:val="24"/>
          <w:szCs w:val="24"/>
          <w:shd w:val="clear" w:color="auto" w:fill="auto"/>
        </w:rPr>
        <w:t>合同签订后，服务方向采购方转账支付合同金额的8%作为履约保证金。采购方凭验收资料和合法发票后60日内转账支付合同价款，履约保证金在质保期满后无息支付。</w:t>
      </w:r>
    </w:p>
    <w:bookmarkEnd w:id="82"/>
    <w:p w14:paraId="6F46E5F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售后服务：服务方接到采购方通知后应立即响应，电话咨询不能解决的应在24小时内安排技术人员到达现场处理，直至解除设施故障，给采购方造成损失的还应由服务方负责赔偿。服务方应认真履行售后服务承诺，质保期外提供售后维修服务的，维修只收取配件费。服务方提供有效的维修联系人和电话，如有变更，应及时通知采购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3" w:name="_Toc26989"/>
      <w:bookmarkStart w:id="84" w:name="_Toc403569796"/>
      <w:bookmarkStart w:id="85" w:name="_Toc14840"/>
      <w:bookmarkStart w:id="86" w:name="_Toc15711"/>
      <w:bookmarkStart w:id="87" w:name="_Toc485108794"/>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7879"/>
      <w:bookmarkStart w:id="98"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8853"/>
      <w:bookmarkStart w:id="101"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2241"/>
      <w:bookmarkStart w:id="110"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9053"/>
      <w:bookmarkStart w:id="114"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54718211"/>
      <w:bookmarkStart w:id="119"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54718210"/>
      <w:bookmarkStart w:id="123" w:name="_Toc31719"/>
      <w:bookmarkStart w:id="124" w:name="_Toc54718212"/>
      <w:bookmarkStart w:id="125"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3696"/>
      <w:bookmarkStart w:id="137" w:name="_Toc485108795"/>
      <w:bookmarkStart w:id="138" w:name="_Toc29521"/>
      <w:bookmarkStart w:id="139" w:name="_Toc14085"/>
      <w:bookmarkStart w:id="140"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21293"/>
      <w:bookmarkStart w:id="149" w:name="_Toc5685"/>
      <w:bookmarkStart w:id="150"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4"/>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485108796"/>
      <w:bookmarkStart w:id="153" w:name="_Toc342913419"/>
      <w:bookmarkStart w:id="154" w:name="_Toc480979018"/>
      <w:bookmarkStart w:id="155" w:name="_Toc313888360"/>
      <w:bookmarkStart w:id="156" w:name="_Toc5565"/>
      <w:bookmarkStart w:id="157" w:name="_Toc313008356"/>
      <w:bookmarkStart w:id="158" w:name="_Toc283382454"/>
      <w:bookmarkStart w:id="159"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56291F69">
      <w:pPr>
        <w:jc w:val="center"/>
        <w:rPr>
          <w:rFonts w:ascii="黑体" w:hAnsi="黑体" w:eastAsia="黑体" w:cs="黑体"/>
          <w:sz w:val="30"/>
          <w:szCs w:val="30"/>
        </w:rPr>
      </w:pPr>
      <w:bookmarkStart w:id="160" w:name="_Toc485108797"/>
      <w:bookmarkStart w:id="161" w:name="_Toc480979019"/>
      <w:bookmarkStart w:id="162" w:name="_Toc313888361"/>
      <w:bookmarkStart w:id="163" w:name="_Toc313008357"/>
      <w:bookmarkStart w:id="164" w:name="_Toc342913420"/>
      <w:bookmarkStart w:id="165" w:name="_Toc12908"/>
      <w:bookmarkStart w:id="166" w:name="_Toc9883"/>
      <w:r>
        <w:rPr>
          <w:rFonts w:hint="eastAsia" w:ascii="黑体" w:hAnsi="黑体" w:eastAsia="黑体" w:cs="黑体"/>
          <w:sz w:val="30"/>
          <w:szCs w:val="30"/>
        </w:rPr>
        <w:t>报价表</w:t>
      </w:r>
    </w:p>
    <w:p w14:paraId="4258D55C">
      <w:pPr>
        <w:rPr>
          <w:rFonts w:ascii="黑体" w:hAnsi="黑体" w:eastAsia="黑体" w:cs="黑体"/>
          <w:sz w:val="30"/>
          <w:szCs w:val="30"/>
        </w:rPr>
      </w:pPr>
    </w:p>
    <w:tbl>
      <w:tblPr>
        <w:tblStyle w:val="59"/>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134"/>
        <w:gridCol w:w="771"/>
        <w:gridCol w:w="1355"/>
        <w:gridCol w:w="1417"/>
        <w:gridCol w:w="1644"/>
      </w:tblGrid>
      <w:tr w14:paraId="398F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158" w:type="dxa"/>
            <w:vAlign w:val="center"/>
          </w:tcPr>
          <w:p w14:paraId="4F71404B">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名称</w:t>
            </w:r>
          </w:p>
        </w:tc>
        <w:tc>
          <w:tcPr>
            <w:tcW w:w="1134" w:type="dxa"/>
            <w:vAlign w:val="center"/>
          </w:tcPr>
          <w:p w14:paraId="7F0EDDC6">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数量</w:t>
            </w:r>
          </w:p>
        </w:tc>
        <w:tc>
          <w:tcPr>
            <w:tcW w:w="771" w:type="dxa"/>
            <w:vAlign w:val="center"/>
          </w:tcPr>
          <w:p w14:paraId="04FE2BC0">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单位</w:t>
            </w:r>
          </w:p>
        </w:tc>
        <w:tc>
          <w:tcPr>
            <w:tcW w:w="1355" w:type="dxa"/>
            <w:vAlign w:val="center"/>
          </w:tcPr>
          <w:p w14:paraId="0164E332">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单价（元）</w:t>
            </w:r>
          </w:p>
        </w:tc>
        <w:tc>
          <w:tcPr>
            <w:tcW w:w="1417" w:type="dxa"/>
            <w:vAlign w:val="center"/>
          </w:tcPr>
          <w:p w14:paraId="2F8EC37B">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总价（元）</w:t>
            </w:r>
          </w:p>
        </w:tc>
        <w:tc>
          <w:tcPr>
            <w:tcW w:w="1644" w:type="dxa"/>
            <w:vAlign w:val="center"/>
          </w:tcPr>
          <w:p w14:paraId="776ABD50">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备注</w:t>
            </w:r>
          </w:p>
        </w:tc>
      </w:tr>
      <w:tr w14:paraId="2A2B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58" w:type="dxa"/>
            <w:vAlign w:val="center"/>
          </w:tcPr>
          <w:p w14:paraId="265DD445">
            <w:pPr>
              <w:spacing w:line="400" w:lineRule="exact"/>
              <w:jc w:val="center"/>
              <w:rPr>
                <w:rFonts w:ascii="宋体" w:hAnsi="宋体"/>
                <w:szCs w:val="21"/>
              </w:rPr>
            </w:pPr>
            <w:r>
              <w:rPr>
                <w:rFonts w:hint="eastAsia" w:ascii="宋体" w:hAnsi="宋体"/>
                <w:szCs w:val="21"/>
              </w:rPr>
              <w:t>七氟丙烷气体灭火装置检测、充装</w:t>
            </w:r>
          </w:p>
        </w:tc>
        <w:tc>
          <w:tcPr>
            <w:tcW w:w="1134" w:type="dxa"/>
            <w:vAlign w:val="center"/>
          </w:tcPr>
          <w:p w14:paraId="7AB3EAA6">
            <w:pPr>
              <w:spacing w:line="400" w:lineRule="exact"/>
              <w:jc w:val="center"/>
              <w:rPr>
                <w:rFonts w:ascii="宋体" w:hAnsi="宋体"/>
                <w:szCs w:val="21"/>
              </w:rPr>
            </w:pPr>
            <w:r>
              <w:rPr>
                <w:rFonts w:hint="eastAsia" w:ascii="宋体" w:hAnsi="宋体"/>
                <w:szCs w:val="21"/>
              </w:rPr>
              <w:t>39</w:t>
            </w:r>
          </w:p>
        </w:tc>
        <w:tc>
          <w:tcPr>
            <w:tcW w:w="771" w:type="dxa"/>
            <w:vAlign w:val="center"/>
          </w:tcPr>
          <w:p w14:paraId="45403E36">
            <w:pPr>
              <w:spacing w:line="400" w:lineRule="exact"/>
              <w:jc w:val="center"/>
              <w:rPr>
                <w:rFonts w:ascii="宋体" w:hAnsi="宋体"/>
                <w:szCs w:val="21"/>
              </w:rPr>
            </w:pPr>
            <w:r>
              <w:rPr>
                <w:rFonts w:hint="eastAsia" w:ascii="宋体" w:hAnsi="宋体"/>
                <w:szCs w:val="21"/>
              </w:rPr>
              <w:t>个</w:t>
            </w:r>
          </w:p>
        </w:tc>
        <w:tc>
          <w:tcPr>
            <w:tcW w:w="1355" w:type="dxa"/>
            <w:vAlign w:val="center"/>
          </w:tcPr>
          <w:p w14:paraId="46B5BC0A">
            <w:pPr>
              <w:spacing w:line="400" w:lineRule="exact"/>
              <w:jc w:val="center"/>
              <w:rPr>
                <w:rFonts w:ascii="宋体" w:hAnsi="宋体"/>
                <w:szCs w:val="21"/>
              </w:rPr>
            </w:pPr>
          </w:p>
        </w:tc>
        <w:tc>
          <w:tcPr>
            <w:tcW w:w="1417" w:type="dxa"/>
            <w:vAlign w:val="center"/>
          </w:tcPr>
          <w:p w14:paraId="64273BF9">
            <w:pPr>
              <w:spacing w:line="300" w:lineRule="exact"/>
              <w:jc w:val="center"/>
              <w:rPr>
                <w:rFonts w:ascii="宋体" w:hAnsi="宋体"/>
                <w:szCs w:val="21"/>
              </w:rPr>
            </w:pPr>
          </w:p>
        </w:tc>
        <w:tc>
          <w:tcPr>
            <w:tcW w:w="1644" w:type="dxa"/>
          </w:tcPr>
          <w:p w14:paraId="4DF39405">
            <w:pPr>
              <w:spacing w:line="300" w:lineRule="exact"/>
              <w:jc w:val="center"/>
              <w:rPr>
                <w:rFonts w:ascii="宋体" w:hAnsi="宋体"/>
                <w:szCs w:val="21"/>
              </w:rPr>
            </w:pPr>
          </w:p>
        </w:tc>
      </w:tr>
      <w:tr w14:paraId="2596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158" w:type="dxa"/>
            <w:vAlign w:val="center"/>
          </w:tcPr>
          <w:p w14:paraId="1088A67C">
            <w:pPr>
              <w:spacing w:line="400" w:lineRule="exact"/>
              <w:jc w:val="center"/>
              <w:rPr>
                <w:rFonts w:ascii="宋体" w:hAnsi="宋体"/>
                <w:szCs w:val="21"/>
              </w:rPr>
            </w:pPr>
            <w:r>
              <w:rPr>
                <w:rFonts w:hint="eastAsia" w:ascii="宋体" w:hAnsi="宋体"/>
                <w:szCs w:val="21"/>
              </w:rPr>
              <w:t>质保期</w:t>
            </w:r>
          </w:p>
        </w:tc>
        <w:tc>
          <w:tcPr>
            <w:tcW w:w="6321" w:type="dxa"/>
            <w:gridSpan w:val="5"/>
          </w:tcPr>
          <w:p w14:paraId="21F4D221">
            <w:pPr>
              <w:pStyle w:val="30"/>
              <w:tabs>
                <w:tab w:val="right" w:leader="hyphen" w:pos="8080"/>
              </w:tabs>
              <w:spacing w:line="360" w:lineRule="auto"/>
              <w:ind w:firstLine="0"/>
              <w:jc w:val="center"/>
              <w:outlineLvl w:val="0"/>
              <w:rPr>
                <w:kern w:val="2"/>
                <w:sz w:val="28"/>
                <w:szCs w:val="28"/>
              </w:rPr>
            </w:pPr>
          </w:p>
        </w:tc>
      </w:tr>
      <w:tr w14:paraId="5BF8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158" w:type="dxa"/>
            <w:vAlign w:val="center"/>
          </w:tcPr>
          <w:p w14:paraId="4BCBDC31">
            <w:pPr>
              <w:spacing w:line="400" w:lineRule="exact"/>
              <w:jc w:val="center"/>
              <w:rPr>
                <w:rFonts w:ascii="宋体" w:hAnsi="宋体"/>
                <w:szCs w:val="21"/>
              </w:rPr>
            </w:pPr>
            <w:r>
              <w:rPr>
                <w:rFonts w:hint="eastAsia" w:ascii="宋体" w:hAnsi="宋体"/>
                <w:szCs w:val="21"/>
              </w:rPr>
              <w:t>工  期</w:t>
            </w:r>
          </w:p>
        </w:tc>
        <w:tc>
          <w:tcPr>
            <w:tcW w:w="6321" w:type="dxa"/>
            <w:gridSpan w:val="5"/>
          </w:tcPr>
          <w:p w14:paraId="6679D961">
            <w:pPr>
              <w:pStyle w:val="30"/>
              <w:tabs>
                <w:tab w:val="right" w:leader="hyphen" w:pos="8080"/>
              </w:tabs>
              <w:spacing w:line="360" w:lineRule="auto"/>
              <w:ind w:firstLine="0"/>
              <w:jc w:val="center"/>
              <w:outlineLvl w:val="0"/>
              <w:rPr>
                <w:kern w:val="2"/>
                <w:sz w:val="28"/>
                <w:szCs w:val="28"/>
              </w:rPr>
            </w:pPr>
          </w:p>
        </w:tc>
      </w:tr>
    </w:tbl>
    <w:p w14:paraId="313F4AAA">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参选报价为包干价，包含但不限于服务费、运输费、保险费、拆装费、调试费、税费等各项费用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617AB6A8">
      <w:pPr>
        <w:pStyle w:val="15"/>
        <w:ind w:left="0" w:leftChars="0" w:firstLine="0" w:firstLineChars="0"/>
        <w:rPr>
          <w:rFonts w:hint="eastAsia"/>
        </w:rPr>
      </w:pPr>
    </w:p>
    <w:p w14:paraId="216ED8A8">
      <w:pPr>
        <w:pStyle w:val="15"/>
        <w:ind w:left="0" w:leftChars="0" w:firstLine="0" w:firstLineChars="0"/>
        <w:rPr>
          <w:rFonts w:hint="eastAsia"/>
        </w:rPr>
      </w:pPr>
    </w:p>
    <w:p w14:paraId="46A423E9">
      <w:pPr>
        <w:pStyle w:val="15"/>
        <w:ind w:left="0" w:leftChars="0" w:firstLine="0" w:firstLineChars="0"/>
        <w:rPr>
          <w:rFonts w:hint="eastAsia"/>
        </w:rPr>
      </w:pPr>
    </w:p>
    <w:p w14:paraId="006DCD87">
      <w:pPr>
        <w:pStyle w:val="15"/>
        <w:ind w:left="0" w:leftChars="0" w:firstLine="0" w:firstLineChars="0"/>
        <w:rPr>
          <w:rFonts w:hint="eastAsia"/>
        </w:rPr>
      </w:pPr>
    </w:p>
    <w:p w14:paraId="41C093ED">
      <w:pPr>
        <w:pStyle w:val="15"/>
        <w:ind w:left="0" w:leftChars="0" w:firstLine="0" w:firstLineChars="0"/>
        <w:rPr>
          <w:rFonts w:hint="eastAsia"/>
        </w:rPr>
      </w:pPr>
    </w:p>
    <w:p w14:paraId="13A23C77">
      <w:pPr>
        <w:pStyle w:val="15"/>
        <w:ind w:left="0" w:leftChars="0" w:firstLine="0" w:firstLineChars="0"/>
        <w:rPr>
          <w:rFonts w:hint="eastAsia"/>
        </w:rPr>
      </w:pPr>
    </w:p>
    <w:p w14:paraId="49BAA00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13844"/>
      <w:bookmarkStart w:id="168" w:name="_Toc485108798"/>
      <w:bookmarkStart w:id="169" w:name="_Toc480979020"/>
      <w:bookmarkStart w:id="170" w:name="_Toc342913421"/>
      <w:bookmarkStart w:id="171" w:name="_Toc313888362"/>
      <w:bookmarkStart w:id="172" w:name="_Toc15203"/>
      <w:bookmarkStart w:id="173"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23584"/>
      <w:bookmarkStart w:id="179"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13008359"/>
      <w:bookmarkStart w:id="181" w:name="_Toc342913422"/>
      <w:bookmarkStart w:id="182"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7"/>
      <w:bookmarkStart w:id="184"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42087E-8203-44AD-8F33-FFB0B8FD574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2" w:fontKey="{8B156D22-705B-4324-814D-87071A9A42DD}"/>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C00E023D-3B97-4768-8FBB-838986464D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54B3317"/>
    <w:multiLevelType w:val="multilevel"/>
    <w:tmpl w:val="254B3317"/>
    <w:lvl w:ilvl="0" w:tentative="0">
      <w:start w:val="1"/>
      <w:numFmt w:val="decimal"/>
      <w:lvlText w:val="%1"/>
      <w:lvlJc w:val="center"/>
      <w:pPr>
        <w:tabs>
          <w:tab w:val="left" w:pos="0"/>
        </w:tabs>
        <w:ind w:left="817"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8DA1A6E"/>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AB4B7D"/>
    <w:rsid w:val="0FC701EB"/>
    <w:rsid w:val="0FCD0A4F"/>
    <w:rsid w:val="0FD61CDB"/>
    <w:rsid w:val="0FD8306F"/>
    <w:rsid w:val="0FFD1C5A"/>
    <w:rsid w:val="1014334F"/>
    <w:rsid w:val="10246EEB"/>
    <w:rsid w:val="10413B50"/>
    <w:rsid w:val="104D689B"/>
    <w:rsid w:val="109D57E0"/>
    <w:rsid w:val="10BA59BE"/>
    <w:rsid w:val="10BF5E9B"/>
    <w:rsid w:val="10D73071"/>
    <w:rsid w:val="111523FC"/>
    <w:rsid w:val="111C3A01"/>
    <w:rsid w:val="114A7245"/>
    <w:rsid w:val="11782A26"/>
    <w:rsid w:val="11E44902"/>
    <w:rsid w:val="13141499"/>
    <w:rsid w:val="131D034D"/>
    <w:rsid w:val="133C3066"/>
    <w:rsid w:val="134E0964"/>
    <w:rsid w:val="13633F56"/>
    <w:rsid w:val="13653AA2"/>
    <w:rsid w:val="13D52C1B"/>
    <w:rsid w:val="13F41DC8"/>
    <w:rsid w:val="144B1714"/>
    <w:rsid w:val="144D65A6"/>
    <w:rsid w:val="14B95EDB"/>
    <w:rsid w:val="14C6168E"/>
    <w:rsid w:val="14C6556D"/>
    <w:rsid w:val="14E12006"/>
    <w:rsid w:val="1554725E"/>
    <w:rsid w:val="15604521"/>
    <w:rsid w:val="156125ED"/>
    <w:rsid w:val="158D32E0"/>
    <w:rsid w:val="15D171CD"/>
    <w:rsid w:val="16243DF1"/>
    <w:rsid w:val="165A4E2F"/>
    <w:rsid w:val="17E52B34"/>
    <w:rsid w:val="18130842"/>
    <w:rsid w:val="184377B7"/>
    <w:rsid w:val="18465822"/>
    <w:rsid w:val="18675712"/>
    <w:rsid w:val="188B43F5"/>
    <w:rsid w:val="18E50010"/>
    <w:rsid w:val="18F71640"/>
    <w:rsid w:val="19394057"/>
    <w:rsid w:val="199C2358"/>
    <w:rsid w:val="19B7492C"/>
    <w:rsid w:val="19BC6C5B"/>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1E15DF"/>
    <w:rsid w:val="23743B1F"/>
    <w:rsid w:val="240C0392"/>
    <w:rsid w:val="24514D5A"/>
    <w:rsid w:val="24AB13E3"/>
    <w:rsid w:val="254D6667"/>
    <w:rsid w:val="25B67319"/>
    <w:rsid w:val="25B7688A"/>
    <w:rsid w:val="25B91E1A"/>
    <w:rsid w:val="25FF0C6B"/>
    <w:rsid w:val="26380176"/>
    <w:rsid w:val="26A440C8"/>
    <w:rsid w:val="26D56CF3"/>
    <w:rsid w:val="26FE2E6F"/>
    <w:rsid w:val="270827C3"/>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486DA5"/>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9FC3E15"/>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2E465D"/>
    <w:rsid w:val="444565A3"/>
    <w:rsid w:val="447A6AFE"/>
    <w:rsid w:val="44B9673B"/>
    <w:rsid w:val="4517170E"/>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5F135F"/>
    <w:rsid w:val="4BE8259F"/>
    <w:rsid w:val="4C025EBB"/>
    <w:rsid w:val="4C4E289A"/>
    <w:rsid w:val="4CC56D84"/>
    <w:rsid w:val="4DBE5CAD"/>
    <w:rsid w:val="4DD75684"/>
    <w:rsid w:val="4E0D2518"/>
    <w:rsid w:val="4E231003"/>
    <w:rsid w:val="4E3873B7"/>
    <w:rsid w:val="4EB765EE"/>
    <w:rsid w:val="4EF70D4B"/>
    <w:rsid w:val="4F2E0C11"/>
    <w:rsid w:val="4F79418A"/>
    <w:rsid w:val="50472E90"/>
    <w:rsid w:val="50A2078E"/>
    <w:rsid w:val="50B9275C"/>
    <w:rsid w:val="50F72CC9"/>
    <w:rsid w:val="50FE286B"/>
    <w:rsid w:val="514069D9"/>
    <w:rsid w:val="51932220"/>
    <w:rsid w:val="51BC0756"/>
    <w:rsid w:val="51D276BD"/>
    <w:rsid w:val="51D77CAA"/>
    <w:rsid w:val="51DB1B67"/>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351BF3"/>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0C3F91"/>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2F6E0D"/>
    <w:rsid w:val="67770DF7"/>
    <w:rsid w:val="679C27B9"/>
    <w:rsid w:val="67C21399"/>
    <w:rsid w:val="67CB3049"/>
    <w:rsid w:val="67FF2A16"/>
    <w:rsid w:val="682465CF"/>
    <w:rsid w:val="68EA74FF"/>
    <w:rsid w:val="690814B0"/>
    <w:rsid w:val="694638B9"/>
    <w:rsid w:val="6972525B"/>
    <w:rsid w:val="69C211FB"/>
    <w:rsid w:val="69DF5AEA"/>
    <w:rsid w:val="69FC5E8B"/>
    <w:rsid w:val="6A16113C"/>
    <w:rsid w:val="6A777B3A"/>
    <w:rsid w:val="6AD14E1A"/>
    <w:rsid w:val="6AE1793A"/>
    <w:rsid w:val="6B056872"/>
    <w:rsid w:val="6B1765A5"/>
    <w:rsid w:val="6B217424"/>
    <w:rsid w:val="6B28360F"/>
    <w:rsid w:val="6B9F4D55"/>
    <w:rsid w:val="6BAA3DD9"/>
    <w:rsid w:val="6C172D01"/>
    <w:rsid w:val="6C5B0433"/>
    <w:rsid w:val="6C7F5156"/>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200A53"/>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091A04"/>
    <w:rsid w:val="7654465A"/>
    <w:rsid w:val="765A00C6"/>
    <w:rsid w:val="76995E63"/>
    <w:rsid w:val="771315E4"/>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 w:type="paragraph" w:customStyle="1" w:styleId="278">
    <w:name w:val="msolistparagraph"/>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11001</Words>
  <Characters>11298</Characters>
  <Lines>182</Lines>
  <Paragraphs>51</Paragraphs>
  <TotalTime>0</TotalTime>
  <ScaleCrop>false</ScaleCrop>
  <LinksUpToDate>false</LinksUpToDate>
  <CharactersWithSpaces>11484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2025-12-06T00:21:41Z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