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2025FW148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二门诊招租</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5875"/>
      <w:bookmarkStart w:id="2" w:name="_Toc485108766"/>
      <w:bookmarkStart w:id="3" w:name="_Toc23588"/>
      <w:bookmarkStart w:id="4" w:name="_Toc11641050"/>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二门诊招租</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二门诊招租</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租赁期限：3年</w:t>
            </w:r>
          </w:p>
          <w:p w14:paraId="53E9D2B7">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整体招租：面积608.83平方米</w:t>
            </w:r>
          </w:p>
        </w:tc>
      </w:tr>
    </w:tbl>
    <w:p w14:paraId="00DB30B5">
      <w:pPr>
        <w:spacing w:line="560" w:lineRule="exact"/>
        <w:jc w:val="left"/>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：医院自筹，租金不低于36.52万年/年。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770A900">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承租方需提供营业执照、法人身份证复印件等相关资料。</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bookmarkStart w:id="189" w:name="_GoBack"/>
      <w:bookmarkEnd w:id="189"/>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tabs>
          <w:tab w:val="left" w:pos="6627"/>
        </w:tabs>
        <w:ind w:firstLine="480" w:firstLineChars="200"/>
        <w:jc w:val="left"/>
        <w:rPr>
          <w:rFonts w:hint="eastAsia" w:ascii="宋体" w:hAnsi="宋体" w:eastAsia="宋体" w:cs="宋体"/>
          <w:color w:val="000000" w:themeColor="text1"/>
          <w:sz w:val="36"/>
          <w:szCs w:val="30"/>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ab/>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5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403569780"/>
      <w:bookmarkStart w:id="43" w:name="_Toc179714298"/>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w:t>
      </w:r>
      <w:r>
        <w:rPr>
          <w:rFonts w:hint="eastAsia" w:hAnsi="宋体" w:cs="宋体"/>
          <w:b/>
          <w:color w:val="000000" w:themeColor="text1"/>
          <w:sz w:val="36"/>
          <w:szCs w:val="36"/>
          <w:shd w:val="clear" w:color="auto" w:fill="auto"/>
          <w:lang w:eastAsia="zh-CN"/>
          <w14:textFill>
            <w14:solidFill>
              <w14:schemeClr w14:val="tx1"/>
            </w14:solidFill>
          </w14:textFill>
        </w:rPr>
        <w:t>招租要</w:t>
      </w:r>
      <w:r>
        <w:rPr>
          <w:rFonts w:hint="eastAsia" w:ascii="宋体" w:hAnsi="宋体" w:eastAsia="宋体" w:cs="宋体"/>
          <w:b/>
          <w:color w:val="000000" w:themeColor="text1"/>
          <w:sz w:val="36"/>
          <w:szCs w:val="36"/>
          <w:shd w:val="clear" w:color="auto" w:fill="auto"/>
          <w14:textFill>
            <w14:solidFill>
              <w14:schemeClr w14:val="tx1"/>
            </w14:solidFill>
          </w14:textFill>
        </w:rPr>
        <w:t>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招租</w:t>
      </w:r>
      <w:r>
        <w:rPr>
          <w:rFonts w:hint="eastAsia" w:ascii="宋体" w:hAnsi="宋体" w:eastAsia="宋体" w:cs="宋体"/>
          <w:color w:val="000000" w:themeColor="text1"/>
          <w:sz w:val="24"/>
          <w:szCs w:val="24"/>
          <w:shd w:val="clear" w:color="auto" w:fill="auto"/>
          <w14:textFill>
            <w14:solidFill>
              <w14:schemeClr w14:val="tx1"/>
            </w14:solidFill>
          </w14:textFill>
        </w:rPr>
        <w:t>要求</w:t>
      </w:r>
    </w:p>
    <w:p w14:paraId="4613024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1、招租地址：重庆市永川区胜利路12-14号，面积608.83平方米。</w:t>
      </w:r>
    </w:p>
    <w:p w14:paraId="4DB172D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承租方不得改变所租房屋的建筑结构，不得损坏其设施。如需装修装饰应经采购方同意后方可实施，其费用由承租方自行承担，承租方承诺在退租房屋时不得向采购方提出索要其装修装饰费用，不能搬走的装修部分归采购方所有。</w:t>
      </w:r>
    </w:p>
    <w:p w14:paraId="3E48118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租赁用途包括但不限于医疗、商业、办公、仓储等，严禁经营棋牌室、餐饮、酒吧、网吧、KTV、宗教场所、噪音污染及涉及危险品等行业；租赁用途须在合同中明确，未经出租方同意不得擅自变更，且不允许转租。</w:t>
      </w:r>
    </w:p>
    <w:p w14:paraId="3102B40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承租方在租用期间，如因特殊原因不再租用，应提前30天与采购方协商停止租用，办理退租手续，同时将房屋交回采购方，承租方不得私自转租给他人或收取转让费。本合同期满后，若承租方不愿续租，采购方凭收据无息退还保证金；除承租方外，其他任何人持保证金收据均不能退还保证金。</w:t>
      </w:r>
    </w:p>
    <w:p w14:paraId="6E7B57C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5、承租方在租用期间应守法经营，自行负责向税务、工商等部门交纳税费或其它费用，如有违法行为，一律与采购方无关，一切后果由承租方负责承担。</w:t>
      </w:r>
    </w:p>
    <w:p w14:paraId="4E2773C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6、承租方要做好门前三包，防火防盗，不得使用电热器取暖、做饭等，如发生火灾，按《安全生产法》《消防法》等有关规定，自行承担法律责任。</w:t>
      </w:r>
    </w:p>
    <w:p w14:paraId="080CB12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7、经营期间若发生下列情况，承租方承诺自行承担全部损失，采购方对承租方不作任何经济补偿，本协议自然终止：</w:t>
      </w:r>
    </w:p>
    <w:p w14:paraId="615B0CD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（1）不可抗力因素如自然灾害等导致的毁损；</w:t>
      </w:r>
    </w:p>
    <w:p w14:paraId="41491E9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（2）由于国家政策层面的原因需终止的；</w:t>
      </w:r>
    </w:p>
    <w:p w14:paraId="70ED5F7B">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（3）由于上级主管部门明令禁止的原因等；</w:t>
      </w:r>
    </w:p>
    <w:p w14:paraId="71D4B83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（4）采购方若提前收回房屋应提前30天通知承租方。</w:t>
      </w:r>
    </w:p>
    <w:p w14:paraId="032AEC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8、承租方须爱护所租房屋的全部设施，合同到期时，双方共同检查验收设施，如因使用不当或违反本合同规定造成损失，承租方按价赔偿或承担修理费用。</w:t>
      </w:r>
    </w:p>
    <w:p w14:paraId="6E5065B0">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6E453139">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4F5ACEF">
      <w:pPr>
        <w:snapToGrid w:val="0"/>
        <w:spacing w:line="400" w:lineRule="exact"/>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9AC17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403569795"/>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FF0FBA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1、保证金：合同签订后，承租方向采购方交纳履约保证金 2万元。</w:t>
      </w:r>
    </w:p>
    <w:p w14:paraId="3B4B67C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2、承租方在租用期间的水费、电费、物管费及税费由承租方自行承担，其交费标准按商业用收费标准计算每季度交入重庆医科大学附属永川医院财务科。</w:t>
      </w:r>
    </w:p>
    <w:p w14:paraId="36FB00A1">
      <w:pPr>
        <w:snapToGrid w:val="0"/>
        <w:spacing w:line="400" w:lineRule="exact"/>
        <w:ind w:firstLine="480" w:firstLineChars="200"/>
        <w:rPr>
          <w:rFonts w:hint="eastAsia" w:eastAsia="方正仿宋_GBK"/>
          <w:sz w:val="28"/>
          <w:szCs w:val="28"/>
        </w:rPr>
      </w:pPr>
      <w:r>
        <w:rPr>
          <w:rFonts w:hint="eastAsia" w:ascii="宋体" w:hAnsi="宋体" w:eastAsia="宋体" w:cs="宋体"/>
          <w:color w:val="FF0000"/>
          <w:sz w:val="24"/>
          <w:szCs w:val="24"/>
          <w:shd w:val="clear" w:color="auto" w:fill="auto"/>
          <w:lang w:val="en-US" w:eastAsia="zh-CN"/>
        </w:rPr>
        <w:t>3、</w:t>
      </w:r>
      <w:r>
        <w:rPr>
          <w:rFonts w:hint="default" w:ascii="宋体" w:hAnsi="宋体" w:eastAsia="宋体" w:cs="宋体"/>
          <w:color w:val="FF0000"/>
          <w:sz w:val="24"/>
          <w:szCs w:val="24"/>
          <w:shd w:val="clear" w:color="auto" w:fill="auto"/>
          <w:lang w:val="en-US" w:eastAsia="zh-CN"/>
        </w:rPr>
        <w:t>租金按</w:t>
      </w:r>
      <w:r>
        <w:rPr>
          <w:rFonts w:hint="eastAsia" w:ascii="宋体" w:hAnsi="宋体" w:eastAsia="宋体" w:cs="宋体"/>
          <w:color w:val="FF0000"/>
          <w:sz w:val="24"/>
          <w:szCs w:val="24"/>
          <w:shd w:val="clear" w:color="auto" w:fill="auto"/>
          <w:lang w:val="en-US" w:eastAsia="zh-CN"/>
        </w:rPr>
        <w:t>季</w:t>
      </w:r>
      <w:r>
        <w:rPr>
          <w:rFonts w:hint="default" w:ascii="宋体" w:hAnsi="宋体" w:eastAsia="宋体" w:cs="宋体"/>
          <w:color w:val="FF0000"/>
          <w:sz w:val="24"/>
          <w:szCs w:val="24"/>
          <w:shd w:val="clear" w:color="auto" w:fill="auto"/>
          <w:lang w:val="en-US" w:eastAsia="zh-CN"/>
        </w:rPr>
        <w:t>预交，上季度最后10日预交下季度租金至重庆医科大学附属永川医院财务科。如承租方未按时交纳租金，属承租方违约，承租方应及时补缴租金，</w:t>
      </w:r>
      <w:r>
        <w:rPr>
          <w:rFonts w:hint="eastAsia" w:ascii="宋体" w:hAnsi="宋体" w:eastAsia="宋体" w:cs="宋体"/>
          <w:color w:val="FF0000"/>
          <w:sz w:val="24"/>
          <w:szCs w:val="24"/>
          <w:shd w:val="clear" w:color="auto" w:fill="auto"/>
          <w:lang w:val="en-US" w:eastAsia="zh-CN"/>
        </w:rPr>
        <w:t>并</w:t>
      </w:r>
      <w:r>
        <w:rPr>
          <w:rFonts w:hint="default" w:ascii="宋体" w:hAnsi="宋体" w:eastAsia="宋体" w:cs="宋体"/>
          <w:color w:val="FF0000"/>
          <w:sz w:val="24"/>
          <w:szCs w:val="24"/>
          <w:shd w:val="clear" w:color="auto" w:fill="auto"/>
          <w:lang w:val="en-US" w:eastAsia="zh-CN"/>
        </w:rPr>
        <w:t>按照</w:t>
      </w:r>
      <w:r>
        <w:rPr>
          <w:rFonts w:hint="eastAsia" w:ascii="宋体" w:hAnsi="宋体" w:eastAsia="宋体" w:cs="宋体"/>
          <w:color w:val="FF0000"/>
          <w:sz w:val="24"/>
          <w:szCs w:val="24"/>
          <w:shd w:val="clear" w:color="auto" w:fill="auto"/>
          <w:lang w:val="en-US" w:eastAsia="zh-CN"/>
        </w:rPr>
        <w:t>逾期天数*（</w:t>
      </w:r>
      <w:r>
        <w:rPr>
          <w:rFonts w:hint="default" w:ascii="宋体" w:hAnsi="宋体" w:eastAsia="宋体" w:cs="宋体"/>
          <w:color w:val="FF0000"/>
          <w:sz w:val="24"/>
          <w:szCs w:val="24"/>
          <w:shd w:val="clear" w:color="auto" w:fill="auto"/>
          <w:lang w:val="en-US" w:eastAsia="zh-CN"/>
        </w:rPr>
        <w:t>月租金/30</w:t>
      </w:r>
      <w:r>
        <w:rPr>
          <w:rFonts w:hint="eastAsia" w:ascii="宋体" w:hAnsi="宋体" w:eastAsia="宋体" w:cs="宋体"/>
          <w:color w:val="FF0000"/>
          <w:sz w:val="24"/>
          <w:szCs w:val="24"/>
          <w:shd w:val="clear" w:color="auto" w:fill="auto"/>
          <w:lang w:val="en-US" w:eastAsia="zh-CN"/>
        </w:rPr>
        <w:t>）</w:t>
      </w:r>
      <w:r>
        <w:rPr>
          <w:rFonts w:hint="default" w:ascii="宋体" w:hAnsi="宋体" w:eastAsia="宋体" w:cs="宋体"/>
          <w:color w:val="FF0000"/>
          <w:sz w:val="24"/>
          <w:szCs w:val="24"/>
          <w:shd w:val="clear" w:color="auto" w:fill="auto"/>
          <w:lang w:val="en-US" w:eastAsia="zh-CN"/>
        </w:rPr>
        <w:t>的标准支付逾期违约金</w:t>
      </w:r>
      <w:r>
        <w:rPr>
          <w:rFonts w:hint="eastAsia" w:ascii="宋体" w:hAnsi="宋体" w:eastAsia="宋体" w:cs="宋体"/>
          <w:color w:val="FF0000"/>
          <w:sz w:val="24"/>
          <w:szCs w:val="24"/>
          <w:shd w:val="clear" w:color="auto" w:fill="auto"/>
          <w:lang w:val="en-US" w:eastAsia="zh-CN"/>
        </w:rPr>
        <w:t>。如逾期</w:t>
      </w:r>
      <w:r>
        <w:rPr>
          <w:rFonts w:hint="default" w:ascii="宋体" w:hAnsi="宋体" w:eastAsia="宋体" w:cs="宋体"/>
          <w:color w:val="FF0000"/>
          <w:sz w:val="24"/>
          <w:szCs w:val="24"/>
          <w:shd w:val="clear" w:color="auto" w:fill="auto"/>
          <w:lang w:val="en-US" w:eastAsia="zh-CN"/>
        </w:rPr>
        <w:t>超过30天，</w:t>
      </w:r>
      <w:r>
        <w:rPr>
          <w:rFonts w:hint="eastAsia" w:ascii="宋体" w:hAnsi="宋体" w:eastAsia="宋体" w:cs="宋体"/>
          <w:color w:val="FF0000"/>
          <w:sz w:val="24"/>
          <w:szCs w:val="24"/>
          <w:shd w:val="clear" w:color="auto" w:fill="auto"/>
          <w:lang w:val="en-US" w:eastAsia="zh-CN"/>
        </w:rPr>
        <w:t>出租方</w:t>
      </w:r>
      <w:r>
        <w:rPr>
          <w:rFonts w:hint="default" w:ascii="宋体" w:hAnsi="宋体" w:eastAsia="宋体" w:cs="宋体"/>
          <w:color w:val="FF0000"/>
          <w:sz w:val="24"/>
          <w:szCs w:val="24"/>
          <w:shd w:val="clear" w:color="auto" w:fill="auto"/>
          <w:lang w:val="en-US" w:eastAsia="zh-CN"/>
        </w:rPr>
        <w:t>有权单方解除本合同，承租方无权提出异议。</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485108795"/>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24B48F33">
      <w:pPr>
        <w:tabs>
          <w:tab w:val="left" w:pos="2895"/>
        </w:tabs>
        <w:spacing w:line="360" w:lineRule="auto"/>
        <w:ind w:firstLine="480" w:firstLineChars="200"/>
        <w:outlineLvl w:val="3"/>
        <w:rPr>
          <w:rFonts w:hint="eastAsia"/>
          <w:sz w:val="28"/>
          <w:szCs w:val="28"/>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p>
    <w:p w14:paraId="693FE880">
      <w:pPr>
        <w:pStyle w:val="52"/>
        <w:spacing w:before="0" w:beforeAutospacing="0" w:after="0" w:afterAutospacing="0" w:line="440" w:lineRule="exact"/>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报价表</w:t>
      </w:r>
    </w:p>
    <w:tbl>
      <w:tblPr>
        <w:tblStyle w:val="6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405"/>
        <w:gridCol w:w="2408"/>
        <w:gridCol w:w="2408"/>
      </w:tblGrid>
      <w:tr w14:paraId="66F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49" w:type="pct"/>
            <w:vAlign w:val="center"/>
          </w:tcPr>
          <w:p w14:paraId="7B085915">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项目</w:t>
            </w:r>
          </w:p>
        </w:tc>
        <w:tc>
          <w:tcPr>
            <w:tcW w:w="1249" w:type="pct"/>
            <w:vAlign w:val="center"/>
          </w:tcPr>
          <w:p w14:paraId="359A8660">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价格（元</w:t>
            </w:r>
            <w:r>
              <w:rPr>
                <w:rFonts w:hint="eastAsia" w:ascii="宋体" w:hAnsi="宋体" w:eastAsia="宋体" w:cs="宋体"/>
                <w:b w:val="0"/>
                <w:bCs/>
                <w:color w:val="FF0000"/>
                <w:sz w:val="28"/>
                <w:szCs w:val="28"/>
                <w:vertAlign w:val="baseline"/>
                <w:lang w:val="en-US" w:eastAsia="zh-CN"/>
              </w:rPr>
              <w:t>/月</w:t>
            </w:r>
            <w:r>
              <w:rPr>
                <w:rFonts w:hint="eastAsia" w:ascii="宋体" w:hAnsi="宋体" w:eastAsia="宋体" w:cs="宋体"/>
                <w:b w:val="0"/>
                <w:bCs/>
                <w:color w:val="FF0000"/>
                <w:sz w:val="28"/>
                <w:szCs w:val="28"/>
                <w:vertAlign w:val="baseline"/>
                <w:lang w:eastAsia="zh-CN"/>
              </w:rPr>
              <w:t>）</w:t>
            </w:r>
          </w:p>
        </w:tc>
        <w:tc>
          <w:tcPr>
            <w:tcW w:w="1250" w:type="pct"/>
            <w:vAlign w:val="center"/>
          </w:tcPr>
          <w:p w14:paraId="73A26623">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年租金（元）</w:t>
            </w:r>
          </w:p>
        </w:tc>
        <w:tc>
          <w:tcPr>
            <w:tcW w:w="1250" w:type="pct"/>
            <w:vAlign w:val="center"/>
          </w:tcPr>
          <w:p w14:paraId="2376751D">
            <w:pPr>
              <w:jc w:val="center"/>
              <w:rPr>
                <w:rFonts w:hint="eastAsia" w:ascii="宋体" w:hAnsi="宋体" w:eastAsia="宋体" w:cs="宋体"/>
                <w:b w:val="0"/>
                <w:bCs/>
                <w:color w:val="FF0000"/>
                <w:sz w:val="28"/>
                <w:szCs w:val="28"/>
                <w:vertAlign w:val="baseline"/>
                <w:lang w:eastAsia="zh-CN"/>
              </w:rPr>
            </w:pPr>
            <w:r>
              <w:rPr>
                <w:rFonts w:hint="eastAsia" w:ascii="宋体" w:hAnsi="宋体" w:eastAsia="宋体" w:cs="宋体"/>
                <w:b w:val="0"/>
                <w:bCs/>
                <w:color w:val="FF0000"/>
                <w:sz w:val="28"/>
                <w:szCs w:val="28"/>
                <w:vertAlign w:val="baseline"/>
                <w:lang w:eastAsia="zh-CN"/>
              </w:rPr>
              <w:t>备注</w:t>
            </w:r>
          </w:p>
        </w:tc>
      </w:tr>
      <w:tr w14:paraId="26F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249" w:type="pct"/>
            <w:vAlign w:val="center"/>
          </w:tcPr>
          <w:p w14:paraId="2D4E8DFF">
            <w:pPr>
              <w:jc w:val="center"/>
              <w:rPr>
                <w:rFonts w:hint="eastAsia" w:ascii="宋体" w:hAnsi="宋体" w:eastAsia="宋体" w:cs="宋体"/>
                <w:b w:val="0"/>
                <w:bCs/>
                <w:color w:val="FF0000"/>
                <w:sz w:val="28"/>
                <w:szCs w:val="28"/>
                <w:vertAlign w:val="baseline"/>
              </w:rPr>
            </w:pPr>
            <w:r>
              <w:rPr>
                <w:rFonts w:hint="eastAsia" w:ascii="宋体" w:hAnsi="宋体" w:eastAsia="宋体" w:cs="宋体"/>
                <w:b w:val="0"/>
                <w:bCs/>
                <w:color w:val="FF0000"/>
                <w:lang w:val="en-US" w:eastAsia="zh-CN"/>
              </w:rPr>
              <w:t>二门诊招租</w:t>
            </w:r>
          </w:p>
        </w:tc>
        <w:tc>
          <w:tcPr>
            <w:tcW w:w="1249" w:type="pct"/>
            <w:vAlign w:val="center"/>
          </w:tcPr>
          <w:p w14:paraId="1021AD5A">
            <w:pPr>
              <w:rPr>
                <w:rFonts w:hint="eastAsia" w:ascii="宋体" w:hAnsi="宋体" w:eastAsia="宋体" w:cs="宋体"/>
                <w:b w:val="0"/>
                <w:bCs/>
                <w:color w:val="FF0000"/>
                <w:sz w:val="28"/>
                <w:szCs w:val="28"/>
                <w:vertAlign w:val="baseline"/>
              </w:rPr>
            </w:pPr>
          </w:p>
        </w:tc>
        <w:tc>
          <w:tcPr>
            <w:tcW w:w="1250" w:type="pct"/>
            <w:vAlign w:val="center"/>
          </w:tcPr>
          <w:p w14:paraId="23B4BEEE">
            <w:pPr>
              <w:rPr>
                <w:rFonts w:hint="eastAsia" w:ascii="宋体" w:hAnsi="宋体" w:eastAsia="宋体" w:cs="宋体"/>
                <w:b w:val="0"/>
                <w:bCs/>
                <w:color w:val="FF0000"/>
                <w:sz w:val="28"/>
                <w:szCs w:val="28"/>
                <w:vertAlign w:val="baseline"/>
              </w:rPr>
            </w:pPr>
          </w:p>
        </w:tc>
        <w:tc>
          <w:tcPr>
            <w:tcW w:w="1250" w:type="pct"/>
            <w:vAlign w:val="center"/>
          </w:tcPr>
          <w:p w14:paraId="23DE15BF">
            <w:pPr>
              <w:rPr>
                <w:rFonts w:hint="eastAsia" w:ascii="宋体" w:hAnsi="宋体" w:eastAsia="宋体" w:cs="宋体"/>
                <w:b w:val="0"/>
                <w:bCs/>
                <w:color w:val="FF0000"/>
                <w:sz w:val="28"/>
                <w:szCs w:val="28"/>
                <w:vertAlign w:val="baseline"/>
              </w:rPr>
            </w:pPr>
          </w:p>
        </w:tc>
      </w:tr>
    </w:tbl>
    <w:p w14:paraId="44136ABA">
      <w:pPr>
        <w:tabs>
          <w:tab w:val="left" w:pos="1134"/>
        </w:tabs>
        <w:jc w:val="center"/>
        <w:rPr>
          <w:rFonts w:hint="eastAsia" w:ascii="黑体" w:hAnsi="黑体" w:eastAsia="黑体"/>
          <w:sz w:val="32"/>
          <w:szCs w:val="32"/>
        </w:rPr>
      </w:pP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617AB6A8">
      <w:pPr>
        <w:pStyle w:val="15"/>
        <w:ind w:left="0" w:leftChars="0" w:firstLine="0" w:firstLineChars="0"/>
        <w:rPr>
          <w:rFonts w:hint="eastAsia"/>
        </w:rPr>
      </w:pPr>
    </w:p>
    <w:p w14:paraId="49BAA004">
      <w:pPr>
        <w:outlineLvl w:val="0"/>
        <w:rPr>
          <w:rFonts w:hint="eastAsia" w:ascii="宋体" w:hAnsi="宋体" w:eastAsia="宋体" w:cs="宋体"/>
          <w:b/>
          <w:color w:val="000000" w:themeColor="text1"/>
          <w:shd w:val="clear" w:color="auto" w:fill="auto"/>
          <w14:textFill>
            <w14:solidFill>
              <w14:schemeClr w14:val="tx1"/>
            </w14:solidFill>
          </w14:textFill>
        </w:rPr>
      </w:pPr>
    </w:p>
    <w:p w14:paraId="46767EC5">
      <w:pPr>
        <w:outlineLvl w:val="0"/>
        <w:rPr>
          <w:rFonts w:hint="eastAsia" w:ascii="宋体" w:hAnsi="宋体" w:eastAsia="宋体" w:cs="宋体"/>
          <w:b/>
          <w:color w:val="000000" w:themeColor="text1"/>
          <w:shd w:val="clear" w:color="auto" w:fill="auto"/>
          <w14:textFill>
            <w14:solidFill>
              <w14:schemeClr w14:val="tx1"/>
            </w14:solidFill>
          </w14:textFill>
        </w:rPr>
      </w:pPr>
    </w:p>
    <w:p w14:paraId="672034B0">
      <w:pPr>
        <w:outlineLvl w:val="0"/>
        <w:rPr>
          <w:rFonts w:hint="eastAsia" w:ascii="宋体" w:hAnsi="宋体" w:eastAsia="宋体" w:cs="宋体"/>
          <w:b/>
          <w:color w:val="000000" w:themeColor="text1"/>
          <w:shd w:val="clear" w:color="auto" w:fill="auto"/>
          <w14:textFill>
            <w14:solidFill>
              <w14:schemeClr w14:val="tx1"/>
            </w14:solidFill>
          </w14:textFill>
        </w:rPr>
      </w:pPr>
    </w:p>
    <w:p w14:paraId="6D141BB5">
      <w:pPr>
        <w:outlineLvl w:val="0"/>
        <w:rPr>
          <w:rFonts w:hint="eastAsia" w:ascii="宋体" w:hAnsi="宋体" w:eastAsia="宋体" w:cs="宋体"/>
          <w:b/>
          <w:color w:val="000000" w:themeColor="text1"/>
          <w:shd w:val="clear" w:color="auto" w:fill="auto"/>
          <w14:textFill>
            <w14:solidFill>
              <w14:schemeClr w14:val="tx1"/>
            </w14:solidFill>
          </w14:textFill>
        </w:rPr>
      </w:pPr>
    </w:p>
    <w:p w14:paraId="6646C54A">
      <w:pPr>
        <w:outlineLvl w:val="0"/>
        <w:rPr>
          <w:rFonts w:hint="eastAsia" w:ascii="宋体" w:hAnsi="宋体" w:eastAsia="宋体" w:cs="宋体"/>
          <w:b/>
          <w:color w:val="000000" w:themeColor="text1"/>
          <w:shd w:val="clear" w:color="auto" w:fill="auto"/>
          <w14:textFill>
            <w14:solidFill>
              <w14:schemeClr w14:val="tx1"/>
            </w14:solidFill>
          </w14:textFill>
        </w:rPr>
      </w:pPr>
    </w:p>
    <w:p w14:paraId="00B005C2">
      <w:pPr>
        <w:outlineLvl w:val="0"/>
        <w:rPr>
          <w:rFonts w:hint="eastAsia" w:ascii="宋体" w:hAnsi="宋体" w:eastAsia="宋体" w:cs="宋体"/>
          <w:b/>
          <w:color w:val="000000" w:themeColor="text1"/>
          <w:shd w:val="clear" w:color="auto" w:fill="auto"/>
          <w14:textFill>
            <w14:solidFill>
              <w14:schemeClr w14:val="tx1"/>
            </w14:solidFill>
          </w14:textFill>
        </w:rPr>
      </w:pPr>
    </w:p>
    <w:p w14:paraId="16ACFAFA">
      <w:pPr>
        <w:outlineLvl w:val="0"/>
        <w:rPr>
          <w:rFonts w:hint="eastAsia" w:ascii="宋体" w:hAnsi="宋体" w:eastAsia="宋体" w:cs="宋体"/>
          <w:b/>
          <w:color w:val="000000" w:themeColor="text1"/>
          <w:shd w:val="clear" w:color="auto" w:fill="auto"/>
          <w14:textFill>
            <w14:solidFill>
              <w14:schemeClr w14:val="tx1"/>
            </w14:solidFill>
          </w14:textFill>
        </w:rPr>
      </w:pPr>
    </w:p>
    <w:p w14:paraId="24A2234C">
      <w:pPr>
        <w:outlineLvl w:val="0"/>
        <w:rPr>
          <w:rFonts w:hint="eastAsia" w:ascii="宋体" w:hAnsi="宋体" w:eastAsia="宋体" w:cs="宋体"/>
          <w:b/>
          <w:color w:val="000000" w:themeColor="text1"/>
          <w:shd w:val="clear" w:color="auto" w:fill="auto"/>
          <w14:textFill>
            <w14:solidFill>
              <w14:schemeClr w14:val="tx1"/>
            </w14:solidFill>
          </w14:textFill>
        </w:rPr>
      </w:pPr>
    </w:p>
    <w:p w14:paraId="15576F48">
      <w:pPr>
        <w:outlineLvl w:val="0"/>
        <w:rPr>
          <w:rFonts w:hint="eastAsia" w:ascii="宋体" w:hAnsi="宋体" w:eastAsia="宋体" w:cs="宋体"/>
          <w:b/>
          <w:color w:val="000000" w:themeColor="text1"/>
          <w:shd w:val="clear" w:color="auto" w:fill="auto"/>
          <w14:textFill>
            <w14:solidFill>
              <w14:schemeClr w14:val="tx1"/>
            </w14:solidFill>
          </w14:textFill>
        </w:rPr>
      </w:pPr>
    </w:p>
    <w:p w14:paraId="127FEF67">
      <w:pPr>
        <w:outlineLvl w:val="0"/>
        <w:rPr>
          <w:rFonts w:hint="eastAsia" w:ascii="宋体" w:hAnsi="宋体" w:eastAsia="宋体" w:cs="宋体"/>
          <w:b/>
          <w:color w:val="000000" w:themeColor="text1"/>
          <w:shd w:val="clear" w:color="auto" w:fill="auto"/>
          <w14:textFill>
            <w14:solidFill>
              <w14:schemeClr w14:val="tx1"/>
            </w14:solidFill>
          </w14:textFill>
        </w:rPr>
      </w:pPr>
    </w:p>
    <w:p w14:paraId="4747E6B5">
      <w:pPr>
        <w:outlineLvl w:val="0"/>
        <w:rPr>
          <w:rFonts w:hint="eastAsia" w:ascii="宋体" w:hAnsi="宋体" w:eastAsia="宋体" w:cs="宋体"/>
          <w:b/>
          <w:color w:val="000000" w:themeColor="text1"/>
          <w:shd w:val="clear" w:color="auto" w:fill="auto"/>
          <w14:textFill>
            <w14:solidFill>
              <w14:schemeClr w14:val="tx1"/>
            </w14:solidFill>
          </w14:textFill>
        </w:rPr>
      </w:pPr>
    </w:p>
    <w:p w14:paraId="0C0DBDD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419B25-881E-4678-8CFD-D2B4635F4A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327B00FF-977D-45B9-B933-B547F53C347F}"/>
  </w:font>
  <w:font w:name="方正小标宋_GBK">
    <w:panose1 w:val="02000000000000000000"/>
    <w:charset w:val="86"/>
    <w:family w:val="script"/>
    <w:pitch w:val="default"/>
    <w:sig w:usb0="00000001" w:usb1="080E0000" w:usb2="00000000" w:usb3="00000000" w:csb0="00040000" w:csb1="00000000"/>
    <w:embedRegular r:id="rId3" w:fontKey="{EA12D232-3802-4298-8C9F-A396BABE2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5E5D2D"/>
    <w:rsid w:val="07911761"/>
    <w:rsid w:val="07C5765D"/>
    <w:rsid w:val="07F26429"/>
    <w:rsid w:val="084C34CD"/>
    <w:rsid w:val="08DA1A6E"/>
    <w:rsid w:val="08E0221F"/>
    <w:rsid w:val="094176DB"/>
    <w:rsid w:val="0983062E"/>
    <w:rsid w:val="09B94804"/>
    <w:rsid w:val="0A854E23"/>
    <w:rsid w:val="0ACB5503"/>
    <w:rsid w:val="0ACF458A"/>
    <w:rsid w:val="0B6515A1"/>
    <w:rsid w:val="0B6F68C5"/>
    <w:rsid w:val="0B803C0B"/>
    <w:rsid w:val="0BAE21B6"/>
    <w:rsid w:val="0BDC31C7"/>
    <w:rsid w:val="0BE1258C"/>
    <w:rsid w:val="0BE64970"/>
    <w:rsid w:val="0C033E70"/>
    <w:rsid w:val="0C3152C1"/>
    <w:rsid w:val="0C481EEF"/>
    <w:rsid w:val="0C56674E"/>
    <w:rsid w:val="0C931BB2"/>
    <w:rsid w:val="0C975B64"/>
    <w:rsid w:val="0C9D3992"/>
    <w:rsid w:val="0D32097D"/>
    <w:rsid w:val="0D4E63D6"/>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0D73071"/>
    <w:rsid w:val="111523FC"/>
    <w:rsid w:val="111C3A01"/>
    <w:rsid w:val="114A7245"/>
    <w:rsid w:val="11782A26"/>
    <w:rsid w:val="11E44902"/>
    <w:rsid w:val="13141499"/>
    <w:rsid w:val="131D034D"/>
    <w:rsid w:val="133C3066"/>
    <w:rsid w:val="134E0964"/>
    <w:rsid w:val="13633F56"/>
    <w:rsid w:val="13653AA2"/>
    <w:rsid w:val="13D52C1B"/>
    <w:rsid w:val="13F41DC8"/>
    <w:rsid w:val="144B1714"/>
    <w:rsid w:val="144D65A6"/>
    <w:rsid w:val="14795AAD"/>
    <w:rsid w:val="14B95EDB"/>
    <w:rsid w:val="14C6168E"/>
    <w:rsid w:val="14C6556D"/>
    <w:rsid w:val="14E12006"/>
    <w:rsid w:val="1554725E"/>
    <w:rsid w:val="15604521"/>
    <w:rsid w:val="156125ED"/>
    <w:rsid w:val="158D32E0"/>
    <w:rsid w:val="15D171CD"/>
    <w:rsid w:val="16243DF1"/>
    <w:rsid w:val="165A4E2F"/>
    <w:rsid w:val="17E52B34"/>
    <w:rsid w:val="17FB28C2"/>
    <w:rsid w:val="18130842"/>
    <w:rsid w:val="184377B7"/>
    <w:rsid w:val="18465822"/>
    <w:rsid w:val="18675712"/>
    <w:rsid w:val="188B43F5"/>
    <w:rsid w:val="18E50010"/>
    <w:rsid w:val="18F71640"/>
    <w:rsid w:val="19394057"/>
    <w:rsid w:val="199C2358"/>
    <w:rsid w:val="19B7492C"/>
    <w:rsid w:val="19BC6C5B"/>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22B10"/>
    <w:rsid w:val="204C6181"/>
    <w:rsid w:val="20FB0BC7"/>
    <w:rsid w:val="2114239C"/>
    <w:rsid w:val="216435EB"/>
    <w:rsid w:val="21C45BE8"/>
    <w:rsid w:val="21F678C9"/>
    <w:rsid w:val="21F94F0D"/>
    <w:rsid w:val="224F1BA5"/>
    <w:rsid w:val="22EF7055"/>
    <w:rsid w:val="231132FF"/>
    <w:rsid w:val="231E15DF"/>
    <w:rsid w:val="23743B1F"/>
    <w:rsid w:val="240C0392"/>
    <w:rsid w:val="24514D5A"/>
    <w:rsid w:val="24AB13E3"/>
    <w:rsid w:val="254D6667"/>
    <w:rsid w:val="25B67319"/>
    <w:rsid w:val="25B7688A"/>
    <w:rsid w:val="25B91E1A"/>
    <w:rsid w:val="25FF0C6B"/>
    <w:rsid w:val="26380176"/>
    <w:rsid w:val="26A440C8"/>
    <w:rsid w:val="26D56CF3"/>
    <w:rsid w:val="26FE2E6F"/>
    <w:rsid w:val="270827C3"/>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AA5035A"/>
    <w:rsid w:val="2B2C4917"/>
    <w:rsid w:val="2B3D6767"/>
    <w:rsid w:val="2B411C38"/>
    <w:rsid w:val="2B574474"/>
    <w:rsid w:val="2B57565F"/>
    <w:rsid w:val="2BBD2276"/>
    <w:rsid w:val="2C812A23"/>
    <w:rsid w:val="2CDF621C"/>
    <w:rsid w:val="2CE02E81"/>
    <w:rsid w:val="2CF2794B"/>
    <w:rsid w:val="2D0277DB"/>
    <w:rsid w:val="2D9073ED"/>
    <w:rsid w:val="2DDB0955"/>
    <w:rsid w:val="2DDE0220"/>
    <w:rsid w:val="2E454084"/>
    <w:rsid w:val="2E4A05E4"/>
    <w:rsid w:val="2E6141F3"/>
    <w:rsid w:val="2F124686"/>
    <w:rsid w:val="2F1F1F02"/>
    <w:rsid w:val="2F2348BD"/>
    <w:rsid w:val="2F486DA5"/>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C1542"/>
    <w:rsid w:val="382D2437"/>
    <w:rsid w:val="38442273"/>
    <w:rsid w:val="384E006D"/>
    <w:rsid w:val="385D0EF3"/>
    <w:rsid w:val="387D36CA"/>
    <w:rsid w:val="389536A9"/>
    <w:rsid w:val="38C010B0"/>
    <w:rsid w:val="38E86458"/>
    <w:rsid w:val="38EB2B69"/>
    <w:rsid w:val="391C67AE"/>
    <w:rsid w:val="39486CC3"/>
    <w:rsid w:val="39A3534F"/>
    <w:rsid w:val="39D65068"/>
    <w:rsid w:val="39FC3E15"/>
    <w:rsid w:val="3AA25DEC"/>
    <w:rsid w:val="3AC648F5"/>
    <w:rsid w:val="3B30241A"/>
    <w:rsid w:val="3B5B756F"/>
    <w:rsid w:val="3B870893"/>
    <w:rsid w:val="3BA13299"/>
    <w:rsid w:val="3C4F6F1A"/>
    <w:rsid w:val="3D2F290C"/>
    <w:rsid w:val="3D3375F0"/>
    <w:rsid w:val="3D4C1E7B"/>
    <w:rsid w:val="3D6E2990"/>
    <w:rsid w:val="3D79508E"/>
    <w:rsid w:val="3DC21444"/>
    <w:rsid w:val="3DD55EF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2E465D"/>
    <w:rsid w:val="444565A3"/>
    <w:rsid w:val="447A6AFE"/>
    <w:rsid w:val="44B9673B"/>
    <w:rsid w:val="4517170E"/>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5F135F"/>
    <w:rsid w:val="4BE8259F"/>
    <w:rsid w:val="4C025EBB"/>
    <w:rsid w:val="4C4E289A"/>
    <w:rsid w:val="4CC56D84"/>
    <w:rsid w:val="4DBE5CAD"/>
    <w:rsid w:val="4DD75684"/>
    <w:rsid w:val="4E0D2518"/>
    <w:rsid w:val="4E231003"/>
    <w:rsid w:val="4E3873B7"/>
    <w:rsid w:val="4EB765EE"/>
    <w:rsid w:val="4EC91B43"/>
    <w:rsid w:val="4EF70D4B"/>
    <w:rsid w:val="4F2E0C11"/>
    <w:rsid w:val="4F79418A"/>
    <w:rsid w:val="50472E90"/>
    <w:rsid w:val="50A2078E"/>
    <w:rsid w:val="50B9275C"/>
    <w:rsid w:val="50F72CC9"/>
    <w:rsid w:val="50FE286B"/>
    <w:rsid w:val="514069D9"/>
    <w:rsid w:val="51932220"/>
    <w:rsid w:val="51BC0756"/>
    <w:rsid w:val="51D276BD"/>
    <w:rsid w:val="51D77CAA"/>
    <w:rsid w:val="51DB1B67"/>
    <w:rsid w:val="52173BDE"/>
    <w:rsid w:val="522135A2"/>
    <w:rsid w:val="5228244C"/>
    <w:rsid w:val="526D5211"/>
    <w:rsid w:val="529620AE"/>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351BF3"/>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824F8F"/>
    <w:rsid w:val="619C43F3"/>
    <w:rsid w:val="620C3F91"/>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2F6E0D"/>
    <w:rsid w:val="67770DF7"/>
    <w:rsid w:val="679C27B9"/>
    <w:rsid w:val="67C21399"/>
    <w:rsid w:val="67CB3049"/>
    <w:rsid w:val="67FF2A16"/>
    <w:rsid w:val="682465CF"/>
    <w:rsid w:val="68EA74FF"/>
    <w:rsid w:val="690814B0"/>
    <w:rsid w:val="694638B9"/>
    <w:rsid w:val="6972525B"/>
    <w:rsid w:val="69C211FB"/>
    <w:rsid w:val="69DF5AEA"/>
    <w:rsid w:val="69FC5E8B"/>
    <w:rsid w:val="6A16113C"/>
    <w:rsid w:val="6A777B3A"/>
    <w:rsid w:val="6AD14E1A"/>
    <w:rsid w:val="6AE1793A"/>
    <w:rsid w:val="6B056872"/>
    <w:rsid w:val="6B1765A5"/>
    <w:rsid w:val="6B217424"/>
    <w:rsid w:val="6B28360F"/>
    <w:rsid w:val="6B9F4D55"/>
    <w:rsid w:val="6BAA3DD9"/>
    <w:rsid w:val="6C172D01"/>
    <w:rsid w:val="6C5B0433"/>
    <w:rsid w:val="6C7F5156"/>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200A53"/>
    <w:rsid w:val="70783234"/>
    <w:rsid w:val="70E64A50"/>
    <w:rsid w:val="710A408D"/>
    <w:rsid w:val="71231A63"/>
    <w:rsid w:val="714B6E37"/>
    <w:rsid w:val="715C4CF2"/>
    <w:rsid w:val="71C72BEE"/>
    <w:rsid w:val="72AA2579"/>
    <w:rsid w:val="73614D85"/>
    <w:rsid w:val="7363682B"/>
    <w:rsid w:val="7363763C"/>
    <w:rsid w:val="739465A0"/>
    <w:rsid w:val="73A82490"/>
    <w:rsid w:val="73AA3664"/>
    <w:rsid w:val="73B34AD5"/>
    <w:rsid w:val="73D42B6E"/>
    <w:rsid w:val="743B3E3F"/>
    <w:rsid w:val="74E41D61"/>
    <w:rsid w:val="75F575B2"/>
    <w:rsid w:val="76091A04"/>
    <w:rsid w:val="7654465A"/>
    <w:rsid w:val="765A00C6"/>
    <w:rsid w:val="76995E63"/>
    <w:rsid w:val="771315E4"/>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86B52"/>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11779</Words>
  <Characters>12019</Characters>
  <Lines>182</Lines>
  <Paragraphs>51</Paragraphs>
  <TotalTime>0</TotalTime>
  <ScaleCrop>false</ScaleCrop>
  <LinksUpToDate>false</LinksUpToDate>
  <CharactersWithSpaces>12722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2025-12-29T07:40:39Z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