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2026FW010</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互联网专线服务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一</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5875"/>
      <w:bookmarkStart w:id="2" w:name="_Toc23588"/>
      <w:bookmarkStart w:id="3" w:name="_Toc485108766"/>
      <w:bookmarkStart w:id="4" w:name="_Toc11641050"/>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互联网专线服务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互联网专线服务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：自筹资金,项目预算：30.6万元/三年。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w:t>
      </w:r>
      <w:bookmarkStart w:id="189" w:name="_GoBack"/>
      <w:bookmarkEnd w:id="189"/>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006063E">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1.参选报价为包干价，包含但不限于服务费、保险、税费等各项费用。(报价表见第六章)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342913393"/>
      <w:bookmarkStart w:id="42" w:name="_Toc179714298"/>
      <w:bookmarkStart w:id="43" w:name="_Toc18122"/>
      <w:bookmarkStart w:id="44" w:name="_Toc1914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29340"/>
      <w:bookmarkStart w:id="52" w:name="_Toc14816"/>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102227321"/>
      <w:bookmarkStart w:id="55" w:name="_Toc7135"/>
      <w:bookmarkStart w:id="56" w:name="_Toc403569783"/>
      <w:bookmarkStart w:id="57" w:name="_Toc342913395"/>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403569785"/>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7A23378">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1.提供不少于1条到信息中心机房的互联网专线，每条带宽不少于200M（上行不少于200M，下行不少于200M）。</w:t>
      </w:r>
    </w:p>
    <w:p w14:paraId="259C319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2.提供不少于1个固定的公网IP，并配合医院办理相关IP备案手续。</w:t>
      </w:r>
    </w:p>
    <w:p w14:paraId="337561F3">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3.安全功能要求：互联网专线应能稳定承载医院部署的安全设备所提供的各类安全功能，包括但不限于访问控制、入侵防御、网络防病毒、上网行为及URL分类管理、流量控制等，并需支持IPSec/SSL VPN、SD-WAN智能组网及威胁情报云查等功能的正常部署与运行。</w:t>
      </w:r>
    </w:p>
    <w:p w14:paraId="09B25DFF">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4.提供不限次数的免费移机服务。</w:t>
      </w:r>
    </w:p>
    <w:p w14:paraId="31B5E674">
      <w:pPr>
        <w:keepNext w:val="0"/>
        <w:keepLines w:val="0"/>
        <w:pageBreakBefore w:val="0"/>
        <w:widowControl/>
        <w:suppressLineNumbers w:val="0"/>
        <w:kinsoku/>
        <w:wordWrap/>
        <w:overflowPunct/>
        <w:topLinePunct w:val="0"/>
        <w:autoSpaceDE/>
        <w:autoSpaceDN/>
        <w:bidi w:val="0"/>
        <w:adjustRightInd/>
        <w:snapToGrid/>
        <w:spacing w:line="400" w:lineRule="exact"/>
        <w:ind w:firstLine="480" w:firstLineChars="200"/>
        <w:jc w:val="left"/>
        <w:textAlignment w:val="auto"/>
        <w:rPr>
          <w:rFonts w:hint="default" w:ascii="宋体" w:hAnsi="宋体" w:eastAsia="宋体" w:cs="宋体"/>
          <w:bCs/>
          <w:color w:val="FF0000"/>
          <w:sz w:val="24"/>
          <w:szCs w:val="24"/>
          <w:lang w:val="en-US" w:eastAsia="zh-CN"/>
        </w:rPr>
      </w:pPr>
    </w:p>
    <w:p w14:paraId="5E0FCAEF">
      <w:pPr>
        <w:keepNext w:val="0"/>
        <w:keepLines w:val="0"/>
        <w:pageBreakBefore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color w:val="FF0000"/>
          <w:sz w:val="24"/>
          <w:szCs w:val="24"/>
          <w:shd w:val="clear" w:color="auto" w:fill="auto"/>
          <w:lang w:val="en-US" w:eastAsia="zh-CN"/>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03569795"/>
      <w:bookmarkStart w:id="80" w:name="_Toc485108793"/>
      <w:bookmarkStart w:id="81" w:name="_Toc735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AA0E09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.服务期限：3年。</w:t>
      </w:r>
    </w:p>
    <w:p w14:paraId="70F80F06">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.安装调试时限：以采购人电话通知时间为准。成交供应商应在收到采购人书面通知后3天内安装、调试完毕，提供满足需求的互联网网络服务。</w:t>
      </w:r>
    </w:p>
    <w:p w14:paraId="541AE14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.验收方式：安装调试完成后，由采购人管理部门验收签字确认。</w:t>
      </w:r>
    </w:p>
    <w:p w14:paraId="662F913A">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.付款方式：服务费按年支付，采购人收到合法发票经审核无误后于60日内付款。 </w:t>
      </w:r>
    </w:p>
    <w:p w14:paraId="4B42C04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.售后服务：</w:t>
      </w:r>
    </w:p>
    <w:p w14:paraId="1CEDE58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（1）成交供应商必须负责整个传输线路的日常网络的正常运行及维护；</w:t>
      </w:r>
    </w:p>
    <w:p w14:paraId="1BAAA80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（2）网络设备更换或升级时，应提前十五日通知采购人，以便作好相应配合，保证双方网络的正常运行；</w:t>
      </w:r>
    </w:p>
    <w:p w14:paraId="1778C53B">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（3）成交供应商有义务无偿向采购人提供最新的网络技术信息和解决方案提供系统运行、维护管理及安全检测等多方面的支持；</w:t>
      </w:r>
    </w:p>
    <w:p w14:paraId="5DC66C0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（4）成交供应商必须提供24小时的热线服务和技术支持，遇到网络线路故障或技术问题，经电话咨询不能解决，成交供应商的工程师需在2小时内到达现场进行处理并确保正常提供网络服务。</w:t>
      </w:r>
    </w:p>
    <w:p w14:paraId="5673E25E">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.其他要求：在远程服务或设备升级服务时，必须向采购人提出申请同意后才能实施，且成交供应商对医院的信息安全和数据安全负全责，在服务工作中造成的影响或损失由成交供应商负全责。</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26989"/>
      <w:bookmarkStart w:id="84" w:name="_Toc14840"/>
      <w:bookmarkStart w:id="85" w:name="_Toc15711"/>
      <w:bookmarkStart w:id="86" w:name="_Toc403569796"/>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2"/>
      <w:bookmarkStart w:id="9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29521"/>
      <w:bookmarkStart w:id="136" w:name="_Toc12789072"/>
      <w:bookmarkStart w:id="137" w:name="_Toc13696"/>
      <w:bookmarkStart w:id="138" w:name="_Toc485108795"/>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342913419"/>
      <w:bookmarkStart w:id="153" w:name="_Toc5565"/>
      <w:bookmarkStart w:id="154" w:name="_Toc485108796"/>
      <w:bookmarkStart w:id="155" w:name="_Toc480979018"/>
      <w:bookmarkStart w:id="156" w:name="_Toc313888360"/>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EFDC18">
      <w:pPr>
        <w:pStyle w:val="3"/>
        <w:keepNext w:val="0"/>
        <w:keepLines w:val="0"/>
        <w:jc w:val="center"/>
        <w:rPr>
          <w:rFonts w:ascii="方正仿宋_GBK" w:hAnsi="微软雅黑" w:eastAsia="方正仿宋_GBK" w:cs="微软雅黑"/>
          <w:color w:val="000000"/>
        </w:rPr>
      </w:pPr>
      <w:bookmarkStart w:id="159" w:name="_Toc342913420"/>
      <w:bookmarkStart w:id="160" w:name="_Toc485108797"/>
      <w:bookmarkStart w:id="161" w:name="_Toc480979019"/>
      <w:bookmarkStart w:id="162" w:name="_Toc313008357"/>
      <w:bookmarkStart w:id="163" w:name="_Toc313888361"/>
      <w:r>
        <w:rPr>
          <w:rFonts w:hint="eastAsia" w:ascii="方正仿宋_GBK" w:eastAsia="方正仿宋_GBK"/>
          <w:b w:val="0"/>
          <w:sz w:val="28"/>
          <w:szCs w:val="28"/>
        </w:rPr>
        <w:t>报价表</w:t>
      </w:r>
    </w:p>
    <w:tbl>
      <w:tblPr>
        <w:tblStyle w:val="60"/>
        <w:tblW w:w="8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3538"/>
        <w:gridCol w:w="1851"/>
      </w:tblGrid>
      <w:tr w14:paraId="7FA5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038" w:type="dxa"/>
          </w:tcPr>
          <w:p w14:paraId="3B5EAC1C">
            <w:pPr>
              <w:spacing w:line="594" w:lineRule="exact"/>
              <w:ind w:firstLine="480"/>
              <w:jc w:val="center"/>
              <w:rPr>
                <w:rFonts w:hint="eastAsia" w:ascii="宋体" w:hAnsi="宋体" w:eastAsia="宋体" w:cs="宋体"/>
                <w:sz w:val="24"/>
                <w:szCs w:val="28"/>
              </w:rPr>
            </w:pPr>
            <w:r>
              <w:rPr>
                <w:rFonts w:hint="eastAsia" w:ascii="宋体" w:hAnsi="宋体" w:eastAsia="宋体" w:cs="宋体"/>
                <w:sz w:val="24"/>
                <w:szCs w:val="28"/>
              </w:rPr>
              <w:t>项目名称</w:t>
            </w:r>
          </w:p>
        </w:tc>
        <w:tc>
          <w:tcPr>
            <w:tcW w:w="3538" w:type="dxa"/>
          </w:tcPr>
          <w:p w14:paraId="693363AD">
            <w:pPr>
              <w:spacing w:line="594" w:lineRule="exact"/>
              <w:ind w:firstLine="480"/>
              <w:jc w:val="center"/>
              <w:rPr>
                <w:rFonts w:hint="eastAsia" w:ascii="宋体" w:hAnsi="宋体" w:eastAsia="宋体" w:cs="宋体"/>
                <w:sz w:val="24"/>
                <w:szCs w:val="28"/>
              </w:rPr>
            </w:pPr>
            <w:r>
              <w:rPr>
                <w:rFonts w:hint="eastAsia" w:ascii="宋体" w:hAnsi="宋体" w:eastAsia="宋体" w:cs="宋体"/>
                <w:sz w:val="24"/>
                <w:szCs w:val="28"/>
              </w:rPr>
              <w:t>价格（元/年）</w:t>
            </w:r>
          </w:p>
        </w:tc>
        <w:tc>
          <w:tcPr>
            <w:tcW w:w="1851" w:type="dxa"/>
          </w:tcPr>
          <w:p w14:paraId="3092CA34">
            <w:pPr>
              <w:spacing w:line="594" w:lineRule="exact"/>
              <w:ind w:firstLine="480"/>
              <w:jc w:val="center"/>
              <w:rPr>
                <w:rFonts w:hint="eastAsia" w:ascii="宋体" w:hAnsi="宋体" w:eastAsia="宋体" w:cs="宋体"/>
                <w:sz w:val="24"/>
                <w:szCs w:val="28"/>
              </w:rPr>
            </w:pPr>
            <w:r>
              <w:rPr>
                <w:rFonts w:hint="eastAsia" w:ascii="宋体" w:hAnsi="宋体" w:eastAsia="宋体" w:cs="宋体"/>
                <w:sz w:val="24"/>
                <w:szCs w:val="28"/>
              </w:rPr>
              <w:t>备注</w:t>
            </w:r>
          </w:p>
        </w:tc>
      </w:tr>
      <w:tr w14:paraId="17A31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038" w:type="dxa"/>
          </w:tcPr>
          <w:p w14:paraId="29A76886">
            <w:pPr>
              <w:spacing w:line="594" w:lineRule="exact"/>
              <w:ind w:firstLine="480"/>
              <w:jc w:val="center"/>
              <w:rPr>
                <w:rFonts w:hint="eastAsia" w:ascii="宋体" w:hAnsi="宋体" w:eastAsia="宋体" w:cs="宋体"/>
                <w:sz w:val="24"/>
                <w:szCs w:val="28"/>
              </w:rPr>
            </w:pPr>
            <w:r>
              <w:rPr>
                <w:rFonts w:hint="eastAsia" w:ascii="宋体" w:hAnsi="宋体" w:eastAsia="宋体" w:cs="宋体"/>
                <w:sz w:val="24"/>
                <w:szCs w:val="28"/>
              </w:rPr>
              <w:t>互联网专线服务</w:t>
            </w:r>
          </w:p>
        </w:tc>
        <w:tc>
          <w:tcPr>
            <w:tcW w:w="3538" w:type="dxa"/>
          </w:tcPr>
          <w:p w14:paraId="70B40CE4">
            <w:pPr>
              <w:spacing w:line="594" w:lineRule="exact"/>
              <w:ind w:firstLine="480"/>
              <w:jc w:val="center"/>
              <w:rPr>
                <w:rFonts w:hint="eastAsia" w:ascii="宋体" w:hAnsi="宋体" w:eastAsia="宋体" w:cs="宋体"/>
                <w:sz w:val="24"/>
                <w:szCs w:val="28"/>
              </w:rPr>
            </w:pPr>
          </w:p>
        </w:tc>
        <w:tc>
          <w:tcPr>
            <w:tcW w:w="1851" w:type="dxa"/>
          </w:tcPr>
          <w:p w14:paraId="612AF3B0">
            <w:pPr>
              <w:spacing w:line="594" w:lineRule="exact"/>
              <w:ind w:firstLine="480"/>
              <w:jc w:val="center"/>
              <w:rPr>
                <w:rFonts w:hint="eastAsia" w:ascii="宋体" w:hAnsi="宋体" w:eastAsia="宋体" w:cs="宋体"/>
                <w:sz w:val="24"/>
                <w:szCs w:val="28"/>
              </w:rPr>
            </w:pPr>
          </w:p>
        </w:tc>
      </w:tr>
      <w:tr w14:paraId="5AE1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576" w:type="dxa"/>
            <w:gridSpan w:val="2"/>
          </w:tcPr>
          <w:p w14:paraId="7B20840A">
            <w:pPr>
              <w:spacing w:line="594" w:lineRule="exact"/>
              <w:ind w:firstLine="720" w:firstLineChars="300"/>
              <w:jc w:val="left"/>
              <w:rPr>
                <w:rFonts w:hint="eastAsia" w:ascii="宋体" w:hAnsi="宋体" w:eastAsia="宋体" w:cs="宋体"/>
                <w:sz w:val="24"/>
                <w:szCs w:val="28"/>
              </w:rPr>
            </w:pPr>
            <w:r>
              <w:rPr>
                <w:rFonts w:hint="eastAsia" w:ascii="宋体" w:hAnsi="宋体" w:eastAsia="宋体" w:cs="宋体"/>
                <w:sz w:val="24"/>
                <w:szCs w:val="28"/>
              </w:rPr>
              <w:t>3年总价（元）：</w:t>
            </w:r>
          </w:p>
        </w:tc>
        <w:tc>
          <w:tcPr>
            <w:tcW w:w="1851" w:type="dxa"/>
          </w:tcPr>
          <w:p w14:paraId="6ECFFBBA">
            <w:pPr>
              <w:spacing w:line="594" w:lineRule="exact"/>
              <w:ind w:firstLine="480"/>
              <w:jc w:val="center"/>
              <w:rPr>
                <w:rFonts w:hint="eastAsia" w:ascii="宋体" w:hAnsi="宋体" w:eastAsia="宋体" w:cs="宋体"/>
                <w:sz w:val="24"/>
                <w:szCs w:val="28"/>
              </w:rPr>
            </w:pPr>
          </w:p>
        </w:tc>
      </w:tr>
    </w:tbl>
    <w:p w14:paraId="573951AA">
      <w:pPr>
        <w:spacing w:line="360" w:lineRule="auto"/>
        <w:rPr>
          <w:rFonts w:hint="eastAsia" w:ascii="宋体" w:hAnsi="宋体" w:eastAsia="宋体" w:cs="宋体"/>
          <w:sz w:val="24"/>
          <w:szCs w:val="24"/>
        </w:rPr>
      </w:pPr>
    </w:p>
    <w:p w14:paraId="099607BC">
      <w:pPr>
        <w:spacing w:line="360" w:lineRule="auto"/>
        <w:rPr>
          <w:rFonts w:hint="eastAsia" w:ascii="宋体" w:hAnsi="宋体" w:eastAsia="宋体" w:cs="宋体"/>
          <w:sz w:val="24"/>
          <w:szCs w:val="24"/>
        </w:rPr>
      </w:pPr>
      <w:r>
        <w:rPr>
          <w:rFonts w:hint="eastAsia" w:ascii="宋体" w:hAnsi="宋体" w:eastAsia="宋体" w:cs="宋体"/>
          <w:sz w:val="24"/>
          <w:szCs w:val="24"/>
        </w:rPr>
        <w:t>备注：</w:t>
      </w:r>
      <w:r>
        <w:rPr>
          <w:rFonts w:hint="eastAsia" w:ascii="宋体" w:hAnsi="宋体" w:eastAsia="宋体" w:cs="宋体"/>
          <w:color w:val="FF0000"/>
          <w:sz w:val="24"/>
          <w:szCs w:val="24"/>
          <w:shd w:val="clear" w:color="auto" w:fill="auto"/>
          <w:lang w:val="en-US" w:eastAsia="zh-CN"/>
        </w:rPr>
        <w:t>参选报价为包干价，包含但不限于服务费、保险、税费等各项费用。</w:t>
      </w:r>
      <w:r>
        <w:rPr>
          <w:rFonts w:hint="eastAsia" w:ascii="宋体" w:hAnsi="宋体" w:eastAsia="宋体" w:cs="宋体"/>
          <w:sz w:val="24"/>
          <w:szCs w:val="24"/>
        </w:rPr>
        <w:t>。</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32EF0181">
      <w:pPr>
        <w:spacing w:line="360" w:lineRule="auto"/>
        <w:ind w:firstLine="480" w:firstLineChars="200"/>
        <w:rPr>
          <w:rFonts w:hint="eastAsia" w:ascii="宋体" w:hAnsi="宋体" w:eastAsia="宋体" w:cs="宋体"/>
          <w:sz w:val="24"/>
          <w:szCs w:val="24"/>
          <w:lang w:val="en-US" w:eastAsia="zh-CN"/>
        </w:rPr>
      </w:pPr>
    </w:p>
    <w:p w14:paraId="3FA3128E">
      <w:pPr>
        <w:spacing w:line="360" w:lineRule="auto"/>
        <w:ind w:firstLine="480" w:firstLineChars="200"/>
        <w:rPr>
          <w:rFonts w:hint="eastAsia" w:ascii="宋体" w:hAnsi="宋体" w:eastAsia="宋体" w:cs="宋体"/>
          <w:sz w:val="24"/>
          <w:szCs w:val="24"/>
          <w:lang w:val="en-US" w:eastAsia="zh-CN"/>
        </w:rPr>
      </w:pPr>
    </w:p>
    <w:p w14:paraId="333FD359">
      <w:pPr>
        <w:spacing w:line="360" w:lineRule="auto"/>
        <w:ind w:firstLine="480" w:firstLineChars="200"/>
        <w:rPr>
          <w:rFonts w:hint="eastAsia" w:ascii="宋体" w:hAnsi="宋体" w:eastAsia="宋体" w:cs="宋体"/>
          <w:sz w:val="24"/>
          <w:szCs w:val="24"/>
          <w:lang w:val="en-US" w:eastAsia="zh-CN"/>
        </w:rPr>
      </w:pPr>
    </w:p>
    <w:p w14:paraId="00BAD2C9">
      <w:pPr>
        <w:spacing w:line="360" w:lineRule="auto"/>
        <w:ind w:firstLine="480" w:firstLineChars="200"/>
        <w:rPr>
          <w:rFonts w:hint="eastAsia" w:ascii="宋体" w:hAnsi="宋体" w:eastAsia="宋体" w:cs="宋体"/>
          <w:sz w:val="24"/>
          <w:szCs w:val="24"/>
          <w:lang w:val="en-US" w:eastAsia="zh-CN"/>
        </w:rPr>
      </w:pPr>
    </w:p>
    <w:p w14:paraId="072FEF65">
      <w:pPr>
        <w:spacing w:line="360" w:lineRule="auto"/>
        <w:ind w:firstLine="480" w:firstLineChars="200"/>
        <w:rPr>
          <w:rFonts w:hint="eastAsia" w:ascii="宋体" w:hAnsi="宋体" w:eastAsia="宋体" w:cs="宋体"/>
          <w:sz w:val="24"/>
          <w:szCs w:val="24"/>
          <w:lang w:val="en-US" w:eastAsia="zh-CN"/>
        </w:rPr>
      </w:pPr>
    </w:p>
    <w:p w14:paraId="680F0998">
      <w:pPr>
        <w:spacing w:line="360" w:lineRule="auto"/>
        <w:ind w:firstLine="480" w:firstLineChars="200"/>
        <w:rPr>
          <w:rFonts w:hint="eastAsia" w:ascii="宋体" w:hAnsi="宋体" w:eastAsia="宋体" w:cs="宋体"/>
          <w:sz w:val="24"/>
          <w:szCs w:val="24"/>
          <w:lang w:val="en-US" w:eastAsia="zh-CN"/>
        </w:rPr>
      </w:pPr>
    </w:p>
    <w:p w14:paraId="4B4B91C5">
      <w:pPr>
        <w:spacing w:line="360" w:lineRule="auto"/>
        <w:ind w:firstLine="480" w:firstLineChars="200"/>
        <w:rPr>
          <w:rFonts w:hint="eastAsia" w:ascii="宋体" w:hAnsi="宋体" w:eastAsia="宋体" w:cs="宋体"/>
          <w:sz w:val="24"/>
          <w:szCs w:val="24"/>
          <w:lang w:val="en-US" w:eastAsia="zh-CN"/>
        </w:rPr>
      </w:pPr>
    </w:p>
    <w:p w14:paraId="41CA9DA2">
      <w:pPr>
        <w:spacing w:line="360" w:lineRule="auto"/>
        <w:ind w:firstLine="480" w:firstLineChars="200"/>
        <w:rPr>
          <w:rFonts w:hint="eastAsia" w:ascii="宋体" w:hAnsi="宋体" w:eastAsia="宋体" w:cs="宋体"/>
          <w:sz w:val="24"/>
          <w:szCs w:val="24"/>
          <w:lang w:val="en-US" w:eastAsia="zh-CN"/>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008358"/>
      <w:bookmarkStart w:id="167" w:name="_Toc313888362"/>
      <w:bookmarkStart w:id="168" w:name="_Toc13844"/>
      <w:bookmarkStart w:id="169" w:name="_Toc485108798"/>
      <w:bookmarkStart w:id="170" w:name="_Toc342913421"/>
      <w:bookmarkStart w:id="171" w:name="_Toc480979020"/>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42913422"/>
      <w:bookmarkStart w:id="180" w:name="_Toc313888363"/>
      <w:bookmarkStart w:id="181"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31463"/>
      <w:bookmarkStart w:id="185"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DFBC91-4BD2-455B-9291-E34E7DAA007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2EC27F1B-7F19-4197-9942-17086A8552C6}"/>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AA5384DC-A7D6-44E5-8CC8-A8847CF23210}"/>
  </w:font>
  <w:font w:name="微软雅黑">
    <w:panose1 w:val="020B0503020204020204"/>
    <w:charset w:val="86"/>
    <w:family w:val="swiss"/>
    <w:pitch w:val="default"/>
    <w:sig w:usb0="80000287" w:usb1="280F3C52" w:usb2="00000016" w:usb3="00000000" w:csb0="0004001F" w:csb1="00000000"/>
    <w:embedRegular r:id="rId4" w:fontKey="{81E12209-7EEF-4FA5-B60D-F51C500C1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3E386E"/>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E525D"/>
    <w:rsid w:val="2A0812C8"/>
    <w:rsid w:val="2B3D6767"/>
    <w:rsid w:val="2B57565F"/>
    <w:rsid w:val="2BBD2276"/>
    <w:rsid w:val="2C812A23"/>
    <w:rsid w:val="2CDF621C"/>
    <w:rsid w:val="2CF2794B"/>
    <w:rsid w:val="2D0A4282"/>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3F5C66"/>
    <w:rsid w:val="3361798A"/>
    <w:rsid w:val="33861085"/>
    <w:rsid w:val="34477E1A"/>
    <w:rsid w:val="34B44507"/>
    <w:rsid w:val="35687566"/>
    <w:rsid w:val="35B15F88"/>
    <w:rsid w:val="35D501BC"/>
    <w:rsid w:val="35E87A5C"/>
    <w:rsid w:val="3608331B"/>
    <w:rsid w:val="36382C0F"/>
    <w:rsid w:val="36725171"/>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575A93"/>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9956DB"/>
    <w:rsid w:val="4EF208C7"/>
    <w:rsid w:val="4EF70D4B"/>
    <w:rsid w:val="4F2E0C11"/>
    <w:rsid w:val="4F79418A"/>
    <w:rsid w:val="4FEA695B"/>
    <w:rsid w:val="50472E90"/>
    <w:rsid w:val="50A2078E"/>
    <w:rsid w:val="50B9275C"/>
    <w:rsid w:val="50F72CC9"/>
    <w:rsid w:val="50FE286B"/>
    <w:rsid w:val="514069D9"/>
    <w:rsid w:val="514349B6"/>
    <w:rsid w:val="51932220"/>
    <w:rsid w:val="51D77CAA"/>
    <w:rsid w:val="52173BDE"/>
    <w:rsid w:val="5228244C"/>
    <w:rsid w:val="529620AE"/>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5B0D06"/>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841954"/>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7E837A3"/>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10899</Words>
  <Characters>11140</Characters>
  <Lines>182</Lines>
  <Paragraphs>51</Paragraphs>
  <TotalTime>0</TotalTime>
  <ScaleCrop>false</ScaleCrop>
  <LinksUpToDate>false</LinksUpToDate>
  <CharactersWithSpaces>11380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2026-01-20T09:47:42Z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