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2026FW012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消化内科内镜超声系统头维修服务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6921"/>
      <w:bookmarkStart w:id="2" w:name="_Toc485108766"/>
      <w:bookmarkStart w:id="3" w:name="_Toc11641050"/>
      <w:bookmarkStart w:id="4" w:name="_Toc23588"/>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消化内科内镜超声系统头维修服务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消化内科内镜超声系统头维修服务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：医院自筹,预算金额：7.5万元。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为包干价，包括不限于所有配件费用、包装费、运输费、装卸费、安装调试费、检验费、培训费、技术服务费、售后服务费（咨询、设备检修、调试、软件升级等费用）、税费、保险费、差旅费、人工等费用，确保维修服务完成后，设备正常运行。甲方不再另行支付乙方任何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403569780"/>
      <w:bookmarkStart w:id="42" w:name="_Toc342913393"/>
      <w:bookmarkStart w:id="43" w:name="_Toc19143"/>
      <w:bookmarkStart w:id="44" w:name="_Toc179714298"/>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485108784"/>
      <w:bookmarkStart w:id="68" w:name="_Toc11770"/>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FF0000"/>
          <w:sz w:val="24"/>
          <w:szCs w:val="24"/>
          <w:shd w:val="clear" w:color="auto" w:fill="auto"/>
        </w:rPr>
      </w:pPr>
      <w:bookmarkStart w:id="71" w:name="_Toc28327"/>
      <w:bookmarkStart w:id="72" w:name="_Toc12789058"/>
      <w:bookmarkStart w:id="73" w:name="_Toc485108787"/>
      <w:r>
        <w:rPr>
          <w:rFonts w:hint="eastAsia" w:ascii="宋体" w:hAnsi="宋体" w:eastAsia="宋体" w:cs="宋体"/>
          <w:color w:val="FF0000"/>
          <w:sz w:val="24"/>
          <w:szCs w:val="24"/>
          <w:shd w:val="clear" w:color="auto" w:fill="auto"/>
          <w:lang w:eastAsia="zh-CN"/>
        </w:rPr>
        <w:t>一</w:t>
      </w:r>
      <w:r>
        <w:rPr>
          <w:rFonts w:hint="eastAsia" w:ascii="宋体" w:hAnsi="宋体" w:eastAsia="宋体" w:cs="宋体"/>
          <w:color w:val="FF0000"/>
          <w:sz w:val="24"/>
          <w:szCs w:val="24"/>
          <w:shd w:val="clear" w:color="auto" w:fill="auto"/>
        </w:rPr>
        <w:t>、服务要求</w:t>
      </w:r>
    </w:p>
    <w:p w14:paraId="294C1518">
      <w:pPr>
        <w:snapToGrid w:val="0"/>
        <w:spacing w:line="400" w:lineRule="exact"/>
        <w:ind w:firstLine="480" w:firstLineChars="200"/>
        <w:rPr>
          <w:rFonts w:hint="eastAsia" w:ascii="宋体" w:hAnsi="宋体" w:eastAsia="宋体" w:cs="宋体"/>
          <w:color w:val="FF0000"/>
          <w:sz w:val="24"/>
          <w:szCs w:val="24"/>
          <w:shd w:val="clear" w:color="auto" w:fill="auto"/>
        </w:rPr>
      </w:pPr>
      <w:bookmarkStart w:id="74" w:name="_Toc4364"/>
      <w:bookmarkStart w:id="75" w:name="_Toc17014"/>
      <w:r>
        <w:rPr>
          <w:rFonts w:hint="eastAsia" w:ascii="宋体" w:hAnsi="宋体" w:eastAsia="宋体" w:cs="宋体"/>
          <w:color w:val="FF0000"/>
          <w:sz w:val="24"/>
          <w:szCs w:val="24"/>
          <w:shd w:val="clear" w:color="auto" w:fill="auto"/>
        </w:rPr>
        <w:t>1、设备型号：</w:t>
      </w:r>
      <w:r>
        <w:rPr>
          <w:rFonts w:hint="eastAsia" w:ascii="宋体" w:hAnsi="宋体" w:eastAsia="宋体" w:cs="宋体"/>
          <w:color w:val="FF0000"/>
          <w:sz w:val="24"/>
          <w:szCs w:val="24"/>
          <w:shd w:val="clear" w:color="auto" w:fill="auto"/>
          <w:lang w:eastAsia="zh-CN"/>
        </w:rPr>
        <w:t>日本富士</w:t>
      </w:r>
      <w:r>
        <w:rPr>
          <w:rFonts w:hint="eastAsia" w:ascii="宋体" w:hAnsi="宋体" w:eastAsia="宋体" w:cs="宋体"/>
          <w:color w:val="FF0000"/>
          <w:sz w:val="24"/>
          <w:szCs w:val="24"/>
          <w:shd w:val="clear" w:color="auto" w:fill="auto"/>
          <w:lang w:val="en-US" w:eastAsia="zh-CN"/>
        </w:rPr>
        <w:t>SP-900，超声探头型号：日本富士P2615-M和P2620-M各1个</w:t>
      </w:r>
      <w:r>
        <w:rPr>
          <w:rFonts w:hint="eastAsia" w:ascii="宋体" w:hAnsi="宋体" w:eastAsia="宋体" w:cs="宋体"/>
          <w:color w:val="FF0000"/>
          <w:sz w:val="24"/>
          <w:szCs w:val="24"/>
          <w:shd w:val="clear" w:color="auto" w:fill="auto"/>
        </w:rPr>
        <w:t>。</w:t>
      </w:r>
    </w:p>
    <w:p w14:paraId="584FAC08">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2、故障现象：</w:t>
      </w:r>
      <w:r>
        <w:rPr>
          <w:rFonts w:hint="eastAsia" w:ascii="宋体" w:hAnsi="宋体" w:eastAsia="宋体" w:cs="宋体"/>
          <w:color w:val="FF0000"/>
          <w:sz w:val="24"/>
          <w:szCs w:val="24"/>
          <w:shd w:val="clear" w:color="auto" w:fill="auto"/>
          <w:lang w:val="en-US" w:eastAsia="zh-CN"/>
        </w:rPr>
        <w:t>超声内镜的超声探头P2615-M出现黑屏无图像的故障。初步鉴定为超声探头的阵元、探头内、外鞘，导丝，超声连接组件（芯片，驱动板，转接部件）均有不同程度损坏；另一个超声探头P2620-M的阵元故障，内外鞘有一定程度的凹陷和漏油情况，需对以上2个探头进行维修或者更换，确保正常使用。</w:t>
      </w:r>
    </w:p>
    <w:p w14:paraId="2B228AE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r>
        <w:rPr>
          <w:rFonts w:hint="eastAsia" w:ascii="宋体" w:hAnsi="宋体" w:eastAsia="宋体" w:cs="宋体"/>
          <w:color w:val="FF0000"/>
          <w:sz w:val="24"/>
          <w:szCs w:val="24"/>
          <w:shd w:val="clear" w:color="auto" w:fill="auto"/>
          <w:lang w:eastAsia="zh-CN"/>
        </w:rPr>
        <w:t>维修</w:t>
      </w:r>
      <w:r>
        <w:rPr>
          <w:rFonts w:hint="eastAsia" w:ascii="宋体" w:hAnsi="宋体" w:eastAsia="宋体" w:cs="宋体"/>
          <w:color w:val="FF0000"/>
          <w:sz w:val="24"/>
          <w:szCs w:val="24"/>
          <w:shd w:val="clear" w:color="auto" w:fill="auto"/>
        </w:rPr>
        <w:t>要求：</w:t>
      </w:r>
    </w:p>
    <w:p w14:paraId="29CEC83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供应商更换的零部件须与我院内镜中心设备的零配件同一型号且为全新的配件;</w:t>
      </w:r>
    </w:p>
    <w:p w14:paraId="49211624">
      <w:pPr>
        <w:snapToGrid w:val="0"/>
        <w:spacing w:line="400" w:lineRule="exact"/>
        <w:ind w:firstLine="482" w:firstLineChars="200"/>
        <w:rPr>
          <w:rFonts w:hint="eastAsia" w:ascii="宋体" w:hAnsi="宋体" w:eastAsia="宋体" w:cs="宋体"/>
          <w:b/>
          <w:bCs/>
          <w:color w:val="FF0000"/>
          <w:sz w:val="24"/>
          <w:szCs w:val="24"/>
          <w:shd w:val="clear" w:color="auto" w:fill="auto"/>
        </w:rPr>
      </w:pPr>
      <w:r>
        <w:rPr>
          <w:rFonts w:hint="eastAsia" w:ascii="宋体" w:hAnsi="宋体" w:eastAsia="宋体" w:cs="宋体"/>
          <w:b/>
          <w:bCs/>
          <w:color w:val="FF0000"/>
          <w:sz w:val="24"/>
          <w:szCs w:val="24"/>
          <w:shd w:val="clear" w:color="auto" w:fill="auto"/>
          <w:lang w:eastAsia="zh-CN"/>
        </w:rPr>
        <w:t>（</w:t>
      </w:r>
      <w:r>
        <w:rPr>
          <w:rFonts w:hint="eastAsia" w:ascii="宋体" w:hAnsi="宋体" w:eastAsia="宋体" w:cs="宋体"/>
          <w:b/>
          <w:bCs/>
          <w:color w:val="FF0000"/>
          <w:sz w:val="24"/>
          <w:szCs w:val="24"/>
          <w:shd w:val="clear" w:color="auto" w:fill="auto"/>
          <w:lang w:val="en-US" w:eastAsia="zh-CN"/>
        </w:rPr>
        <w:t>2</w:t>
      </w:r>
      <w:r>
        <w:rPr>
          <w:rFonts w:hint="eastAsia" w:ascii="宋体" w:hAnsi="宋体" w:eastAsia="宋体" w:cs="宋体"/>
          <w:b/>
          <w:bCs/>
          <w:color w:val="FF0000"/>
          <w:sz w:val="24"/>
          <w:szCs w:val="24"/>
          <w:shd w:val="clear" w:color="auto" w:fill="auto"/>
          <w:lang w:eastAsia="zh-CN"/>
        </w:rPr>
        <w:t>）</w:t>
      </w:r>
      <w:r>
        <w:rPr>
          <w:rFonts w:hint="eastAsia" w:ascii="宋体" w:hAnsi="宋体" w:eastAsia="宋体" w:cs="宋体"/>
          <w:b/>
          <w:bCs/>
          <w:color w:val="FF0000"/>
          <w:sz w:val="24"/>
          <w:szCs w:val="24"/>
          <w:shd w:val="clear" w:color="auto" w:fill="auto"/>
        </w:rPr>
        <w:t>供应商提供的零配件需为原装配件，提供进口报关单及商检报告或提供中国富士公司授权全新零配件供应商资质。</w:t>
      </w:r>
    </w:p>
    <w:p w14:paraId="1100FD6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维修工程师拥有原厂维修服务从业经验证书或维修资格的工程师证明</w:t>
      </w:r>
      <w:r>
        <w:rPr>
          <w:rFonts w:hint="eastAsia" w:ascii="宋体" w:hAnsi="宋体" w:eastAsia="宋体" w:cs="宋体"/>
          <w:color w:val="FF0000"/>
          <w:sz w:val="24"/>
          <w:szCs w:val="24"/>
          <w:shd w:val="clear" w:color="auto" w:fill="auto"/>
          <w:lang w:eastAsia="zh-CN"/>
        </w:rPr>
        <w:t>。</w:t>
      </w:r>
    </w:p>
    <w:p w14:paraId="10E565E8">
      <w:pPr>
        <w:snapToGrid w:val="0"/>
        <w:spacing w:line="400" w:lineRule="exact"/>
        <w:ind w:firstLine="560" w:firstLineChars="200"/>
        <w:rPr>
          <w:rFonts w:ascii="仿宋" w:hAnsi="仿宋" w:eastAsia="仿宋"/>
          <w:sz w:val="28"/>
          <w:szCs w:val="28"/>
        </w:rPr>
      </w:pPr>
      <w:r>
        <w:rPr>
          <w:rFonts w:ascii="仿宋" w:hAnsi="仿宋" w:eastAsia="仿宋"/>
          <w:color w:val="FF0000"/>
          <w:sz w:val="28"/>
          <w:szCs w:val="28"/>
        </w:rPr>
        <w:t xml:space="preserve"> </w:t>
      </w:r>
      <w:r>
        <w:rPr>
          <w:rFonts w:ascii="仿宋" w:hAnsi="仿宋" w:eastAsia="仿宋"/>
          <w:sz w:val="28"/>
          <w:szCs w:val="28"/>
        </w:rPr>
        <w:t xml:space="preserve">                    </w:t>
      </w:r>
    </w:p>
    <w:p w14:paraId="05F8AA6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75A9EF">
      <w:pPr>
        <w:rPr>
          <w:rFonts w:hint="eastAsia"/>
          <w:color w:val="000000" w:themeColor="text1"/>
          <w14:textFill>
            <w14:solidFill>
              <w14:schemeClr w14:val="tx1"/>
            </w14:solidFill>
          </w14:textFill>
        </w:rPr>
      </w:pPr>
    </w:p>
    <w:p w14:paraId="071FDE9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4CCEC7B">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35E9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0CE6FC5">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153D4C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DFF347B">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41B83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21222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7B7058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B03B3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EE2EE2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F1F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DA0B4B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、维修周期：</w:t>
      </w:r>
      <w:r>
        <w:rPr>
          <w:rFonts w:hint="eastAsia" w:ascii="宋体" w:hAnsi="宋体" w:eastAsia="宋体" w:cs="宋体"/>
          <w:color w:val="FF0000"/>
          <w:sz w:val="24"/>
          <w:szCs w:val="24"/>
          <w:shd w:val="clear" w:color="auto" w:fill="auto"/>
          <w:lang w:val="en-US" w:eastAsia="zh-CN"/>
        </w:rPr>
        <w:t>1个月内</w:t>
      </w:r>
      <w:r>
        <w:rPr>
          <w:rFonts w:hint="eastAsia" w:ascii="宋体" w:hAnsi="宋体" w:eastAsia="宋体" w:cs="宋体"/>
          <w:color w:val="FF0000"/>
          <w:sz w:val="24"/>
          <w:szCs w:val="24"/>
          <w:shd w:val="clear" w:color="auto" w:fill="auto"/>
        </w:rPr>
        <w:t>。</w:t>
      </w:r>
    </w:p>
    <w:p w14:paraId="4647855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、质保期：≥6个月。</w:t>
      </w:r>
    </w:p>
    <w:p w14:paraId="39C25A97">
      <w:pPr>
        <w:snapToGrid w:val="0"/>
        <w:spacing w:line="52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3、付款方式：合同签订后，成交供应商向采购人交付合同总费用的8%作为履约保证金，完成相关维修服务工作后，成交供应商提供有效合法发票和经双方签字的服务完成单据给采购人，采购人在60天内支付合同总费用的100%；质保期满且设备无任何质量问题，采购人在30天内向成交供应商无息退还履约保证金（即合同总费用的8%）。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26989"/>
      <w:bookmarkStart w:id="84" w:name="_Toc14840"/>
      <w:bookmarkStart w:id="85" w:name="_Toc485108794"/>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color w:val="000000" w:themeColor="text1"/>
          <w:sz w:val="28"/>
          <w:szCs w:val="28"/>
          <w14:textFill>
            <w14:solidFill>
              <w14:schemeClr w14:val="tx1"/>
            </w14:solidFill>
          </w14:textFill>
        </w:rPr>
        <w:t>报价表</w:t>
      </w:r>
    </w:p>
    <w:tbl>
      <w:tblPr>
        <w:tblStyle w:val="59"/>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276"/>
        <w:gridCol w:w="1417"/>
        <w:gridCol w:w="1665"/>
        <w:gridCol w:w="1134"/>
        <w:gridCol w:w="1134"/>
        <w:gridCol w:w="1150"/>
      </w:tblGrid>
      <w:tr w14:paraId="135F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76F35D66">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D6D94D">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规格型号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8C89A7B">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原产地及</w:t>
            </w:r>
          </w:p>
          <w:p w14:paraId="0F9EE864">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生产厂家</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498633B8">
            <w:pPr>
              <w:spacing w:line="440" w:lineRule="exact"/>
              <w:jc w:val="center"/>
              <w:rPr>
                <w:rFonts w:hint="eastAsia" w:ascii="楷体" w:hAnsi="楷体" w:eastAsia="楷体"/>
                <w:color w:val="000000"/>
                <w:sz w:val="24"/>
                <w:szCs w:val="24"/>
              </w:rPr>
            </w:pPr>
            <w:r>
              <w:rPr>
                <w:rFonts w:hint="eastAsia" w:ascii="楷体" w:hAnsi="楷体" w:eastAsia="楷体"/>
                <w:color w:val="000000"/>
                <w:sz w:val="24"/>
                <w:szCs w:val="24"/>
              </w:rPr>
              <w:t>主要内容</w:t>
            </w:r>
          </w:p>
          <w:p w14:paraId="4821AAAF">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（配置及技术参数）</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BD0E193">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数量</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A8441D8">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单次维修服务费用</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BD8B63">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合计（元）</w:t>
            </w:r>
          </w:p>
        </w:tc>
      </w:tr>
      <w:tr w14:paraId="01AD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2ECC98DD">
            <w:pPr>
              <w:spacing w:line="440" w:lineRule="exact"/>
              <w:jc w:val="center"/>
              <w:rPr>
                <w:rFonts w:ascii="楷体" w:hAnsi="楷体" w:eastAsia="楷体"/>
                <w:color w:val="000000"/>
                <w:sz w:val="24"/>
                <w:szCs w:val="24"/>
              </w:rPr>
            </w:pPr>
            <w:r>
              <w:rPr>
                <w:rFonts w:ascii="楷体" w:hAnsi="楷体" w:eastAsia="楷体"/>
                <w:color w:val="000000"/>
                <w:sz w:val="24"/>
                <w:szCs w:val="24"/>
              </w:rPr>
              <w:t>XXX</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62BC54A">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XXX</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E359284">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XXX</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67E0BDD3">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EDED7E0">
            <w:pPr>
              <w:spacing w:line="440" w:lineRule="exact"/>
              <w:jc w:val="center"/>
              <w:rPr>
                <w:rFonts w:ascii="楷体" w:hAnsi="楷体" w:eastAsia="楷体"/>
                <w:color w:val="000000"/>
                <w:sz w:val="24"/>
                <w:szCs w:val="24"/>
              </w:rPr>
            </w:pPr>
            <w:r>
              <w:rPr>
                <w:rFonts w:hint="eastAsia" w:ascii="楷体" w:hAnsi="楷体" w:eastAsia="楷体"/>
                <w:color w:val="000000"/>
                <w:sz w:val="24"/>
                <w:szCs w:val="24"/>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4446A93">
            <w:pPr>
              <w:spacing w:line="440" w:lineRule="exact"/>
              <w:ind w:right="210"/>
              <w:jc w:val="center"/>
              <w:rPr>
                <w:rFonts w:ascii="楷体" w:hAnsi="楷体" w:eastAsia="楷体"/>
                <w:color w:val="000000"/>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BC8A791">
            <w:pPr>
              <w:spacing w:line="440" w:lineRule="exact"/>
              <w:jc w:val="center"/>
              <w:rPr>
                <w:rFonts w:ascii="楷体" w:hAnsi="楷体" w:eastAsia="楷体"/>
                <w:color w:val="000000"/>
                <w:sz w:val="24"/>
                <w:szCs w:val="24"/>
              </w:rPr>
            </w:pPr>
          </w:p>
        </w:tc>
      </w:tr>
      <w:tr w14:paraId="71D4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7B6A2936">
            <w:pPr>
              <w:spacing w:line="440" w:lineRule="exact"/>
              <w:rPr>
                <w:rFonts w:ascii="楷体" w:hAnsi="楷体" w:eastAsia="楷体"/>
                <w:color w:val="000000"/>
                <w:sz w:val="24"/>
                <w:szCs w:val="24"/>
              </w:rPr>
            </w:pPr>
            <w:r>
              <w:rPr>
                <w:rFonts w:hint="eastAsia" w:ascii="楷体" w:hAnsi="楷体" w:eastAsia="楷体"/>
                <w:color w:val="000000"/>
                <w:sz w:val="24"/>
                <w:szCs w:val="24"/>
              </w:rPr>
              <w:t xml:space="preserve">维修总费用： </w:t>
            </w:r>
          </w:p>
        </w:tc>
      </w:tr>
      <w:tr w14:paraId="1A7B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20D0AF65">
            <w:pPr>
              <w:spacing w:line="440" w:lineRule="exact"/>
              <w:rPr>
                <w:rFonts w:ascii="楷体" w:hAnsi="楷体" w:eastAsia="楷体"/>
                <w:color w:val="000000"/>
                <w:sz w:val="24"/>
                <w:szCs w:val="24"/>
              </w:rPr>
            </w:pPr>
            <w:r>
              <w:rPr>
                <w:rFonts w:hint="eastAsia" w:ascii="楷体" w:hAnsi="楷体" w:eastAsia="楷体"/>
                <w:color w:val="000000"/>
                <w:sz w:val="24"/>
                <w:szCs w:val="24"/>
              </w:rPr>
              <w:t>质保期：</w:t>
            </w:r>
            <w:r>
              <w:rPr>
                <w:rFonts w:ascii="楷体" w:hAnsi="楷体" w:eastAsia="楷体"/>
                <w:color w:val="000000"/>
                <w:sz w:val="24"/>
                <w:szCs w:val="24"/>
              </w:rPr>
              <w:t xml:space="preserve"> </w:t>
            </w:r>
          </w:p>
        </w:tc>
      </w:tr>
      <w:tr w14:paraId="09F6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4D0C8B81">
            <w:pPr>
              <w:spacing w:line="440" w:lineRule="exact"/>
              <w:rPr>
                <w:rFonts w:ascii="楷体" w:hAnsi="楷体" w:eastAsia="楷体"/>
                <w:color w:val="000000"/>
                <w:sz w:val="24"/>
                <w:szCs w:val="24"/>
              </w:rPr>
            </w:pPr>
            <w:r>
              <w:rPr>
                <w:rFonts w:hint="eastAsia" w:ascii="楷体" w:hAnsi="楷体" w:eastAsia="楷体"/>
                <w:color w:val="000000"/>
                <w:sz w:val="24"/>
                <w:szCs w:val="24"/>
              </w:rPr>
              <w:t>到货期：</w:t>
            </w:r>
          </w:p>
        </w:tc>
      </w:tr>
      <w:tr w14:paraId="79EA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65AE6AFA">
            <w:pPr>
              <w:spacing w:line="440" w:lineRule="exact"/>
              <w:rPr>
                <w:rFonts w:hint="eastAsia" w:ascii="楷体" w:hAnsi="楷体" w:eastAsia="楷体"/>
                <w:b/>
                <w:color w:val="000000"/>
                <w:sz w:val="24"/>
                <w:szCs w:val="24"/>
              </w:rPr>
            </w:pPr>
            <w:r>
              <w:rPr>
                <w:rFonts w:hint="eastAsia" w:ascii="楷体" w:hAnsi="楷体" w:eastAsia="楷体"/>
                <w:b/>
                <w:color w:val="000000"/>
                <w:sz w:val="24"/>
                <w:szCs w:val="24"/>
              </w:rPr>
              <w:t>备注：</w:t>
            </w:r>
            <w:r>
              <w:rPr>
                <w:rFonts w:hint="eastAsia" w:ascii="楷体" w:hAnsi="楷体" w:eastAsia="楷体" w:cs="宋体"/>
                <w:b/>
                <w:color w:val="000000"/>
                <w:sz w:val="24"/>
              </w:rPr>
              <w:t xml:space="preserve">上述费用为包干总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甲方不再另行支付乙方任何费用。 </w:t>
            </w:r>
          </w:p>
        </w:tc>
      </w:tr>
    </w:tbl>
    <w:p w14:paraId="03537BBC">
      <w:pPr>
        <w:tabs>
          <w:tab w:val="left" w:pos="1134"/>
        </w:tabs>
        <w:jc w:val="both"/>
        <w:rPr>
          <w:rFonts w:hint="eastAsia" w:ascii="黑体" w:hAnsi="黑体" w:eastAsia="黑体"/>
          <w:color w:val="000000" w:themeColor="text1"/>
          <w:sz w:val="32"/>
          <w:szCs w:val="32"/>
          <w:lang w:val="en-US" w:eastAsia="zh-CN"/>
          <w14:textFill>
            <w14:solidFill>
              <w14:schemeClr w14:val="tx1"/>
            </w14:solidFill>
          </w14:textFill>
        </w:rPr>
      </w:pP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0BF3D5C5">
      <w:pPr>
        <w:outlineLvl w:val="0"/>
        <w:rPr>
          <w:rFonts w:hint="eastAsia" w:ascii="宋体" w:hAnsi="宋体" w:eastAsia="宋体" w:cs="宋体"/>
          <w:b/>
          <w:color w:val="000000" w:themeColor="text1"/>
          <w:shd w:val="clear" w:color="auto" w:fill="auto"/>
          <w14:textFill>
            <w14:solidFill>
              <w14:schemeClr w14:val="tx1"/>
            </w14:solidFill>
          </w14:textFill>
        </w:rPr>
      </w:pPr>
    </w:p>
    <w:p w14:paraId="07DA93A9">
      <w:pPr>
        <w:outlineLvl w:val="0"/>
        <w:rPr>
          <w:rFonts w:hint="eastAsia" w:ascii="宋体" w:hAnsi="宋体" w:eastAsia="宋体" w:cs="宋体"/>
          <w:b/>
          <w:color w:val="000000" w:themeColor="text1"/>
          <w:shd w:val="clear" w:color="auto" w:fill="auto"/>
          <w14:textFill>
            <w14:solidFill>
              <w14:schemeClr w14:val="tx1"/>
            </w14:solidFill>
          </w14:textFill>
        </w:rPr>
      </w:pPr>
    </w:p>
    <w:p w14:paraId="60C6C8BA">
      <w:pPr>
        <w:outlineLvl w:val="0"/>
        <w:rPr>
          <w:rFonts w:hint="eastAsia" w:ascii="宋体" w:hAnsi="宋体" w:eastAsia="宋体" w:cs="宋体"/>
          <w:b/>
          <w:color w:val="000000" w:themeColor="text1"/>
          <w:shd w:val="clear" w:color="auto" w:fill="auto"/>
          <w14:textFill>
            <w14:solidFill>
              <w14:schemeClr w14:val="tx1"/>
            </w14:solidFill>
          </w14:textFill>
        </w:rPr>
      </w:pPr>
    </w:p>
    <w:p w14:paraId="11A1B3E6">
      <w:pPr>
        <w:outlineLvl w:val="0"/>
        <w:rPr>
          <w:rFonts w:hint="eastAsia" w:ascii="宋体" w:hAnsi="宋体" w:eastAsia="宋体" w:cs="宋体"/>
          <w:b/>
          <w:color w:val="000000" w:themeColor="text1"/>
          <w:shd w:val="clear" w:color="auto" w:fill="auto"/>
          <w14:textFill>
            <w14:solidFill>
              <w14:schemeClr w14:val="tx1"/>
            </w14:solidFill>
          </w14:textFill>
        </w:rPr>
      </w:pPr>
    </w:p>
    <w:p w14:paraId="71967157">
      <w:pPr>
        <w:outlineLvl w:val="0"/>
        <w:rPr>
          <w:rFonts w:hint="eastAsia" w:ascii="宋体" w:hAnsi="宋体" w:eastAsia="宋体" w:cs="宋体"/>
          <w:b/>
          <w:color w:val="000000" w:themeColor="text1"/>
          <w:shd w:val="clear" w:color="auto" w:fill="auto"/>
          <w14:textFill>
            <w14:solidFill>
              <w14:schemeClr w14:val="tx1"/>
            </w14:solidFill>
          </w14:textFill>
        </w:rPr>
      </w:pPr>
    </w:p>
    <w:p w14:paraId="69543D95">
      <w:pPr>
        <w:outlineLvl w:val="0"/>
        <w:rPr>
          <w:rFonts w:hint="eastAsia" w:ascii="宋体" w:hAnsi="宋体" w:eastAsia="宋体" w:cs="宋体"/>
          <w:b/>
          <w:color w:val="000000" w:themeColor="text1"/>
          <w:shd w:val="clear" w:color="auto" w:fill="auto"/>
          <w14:textFill>
            <w14:solidFill>
              <w14:schemeClr w14:val="tx1"/>
            </w14:solidFill>
          </w14:textFill>
        </w:rPr>
      </w:pPr>
    </w:p>
    <w:p w14:paraId="0717ACFA">
      <w:pPr>
        <w:outlineLvl w:val="0"/>
        <w:rPr>
          <w:rFonts w:hint="eastAsia" w:ascii="宋体" w:hAnsi="宋体" w:eastAsia="宋体" w:cs="宋体"/>
          <w:b/>
          <w:color w:val="000000" w:themeColor="text1"/>
          <w:shd w:val="clear" w:color="auto" w:fill="auto"/>
          <w14:textFill>
            <w14:solidFill>
              <w14:schemeClr w14:val="tx1"/>
            </w14:solidFill>
          </w14:textFill>
        </w:rPr>
      </w:pPr>
    </w:p>
    <w:p w14:paraId="01758CC7">
      <w:pPr>
        <w:outlineLvl w:val="0"/>
        <w:rPr>
          <w:rFonts w:hint="eastAsia" w:ascii="宋体" w:hAnsi="宋体" w:eastAsia="宋体" w:cs="宋体"/>
          <w:b/>
          <w:color w:val="000000" w:themeColor="text1"/>
          <w:shd w:val="clear" w:color="auto" w:fill="auto"/>
          <w14:textFill>
            <w14:solidFill>
              <w14:schemeClr w14:val="tx1"/>
            </w14:solidFill>
          </w14:textFill>
        </w:rPr>
      </w:pPr>
    </w:p>
    <w:p w14:paraId="24A03A08">
      <w:pPr>
        <w:outlineLvl w:val="0"/>
        <w:rPr>
          <w:rFonts w:hint="eastAsia" w:ascii="宋体" w:hAnsi="宋体" w:eastAsia="宋体" w:cs="宋体"/>
          <w:b/>
          <w:color w:val="000000" w:themeColor="text1"/>
          <w:shd w:val="clear" w:color="auto" w:fill="auto"/>
          <w14:textFill>
            <w14:solidFill>
              <w14:schemeClr w14:val="tx1"/>
            </w14:solidFill>
          </w14:textFill>
        </w:rPr>
      </w:pPr>
    </w:p>
    <w:p w14:paraId="05AC2202">
      <w:pPr>
        <w:outlineLvl w:val="0"/>
        <w:rPr>
          <w:rFonts w:hint="eastAsia" w:ascii="宋体" w:hAnsi="宋体" w:eastAsia="宋体" w:cs="宋体"/>
          <w:b/>
          <w:color w:val="000000" w:themeColor="text1"/>
          <w:shd w:val="clear" w:color="auto" w:fill="auto"/>
          <w14:textFill>
            <w14:solidFill>
              <w14:schemeClr w14:val="tx1"/>
            </w14:solidFill>
          </w14:textFill>
        </w:rPr>
      </w:pPr>
    </w:p>
    <w:p w14:paraId="1BC42E3D">
      <w:pPr>
        <w:outlineLvl w:val="0"/>
        <w:rPr>
          <w:rFonts w:hint="eastAsia" w:ascii="宋体" w:hAnsi="宋体" w:eastAsia="宋体" w:cs="宋体"/>
          <w:b/>
          <w:color w:val="000000" w:themeColor="text1"/>
          <w:shd w:val="clear" w:color="auto" w:fill="auto"/>
          <w14:textFill>
            <w14:solidFill>
              <w14:schemeClr w14:val="tx1"/>
            </w14:solidFill>
          </w14:textFill>
        </w:rPr>
      </w:pPr>
    </w:p>
    <w:p w14:paraId="6BCD9CB0">
      <w:pPr>
        <w:outlineLvl w:val="0"/>
        <w:rPr>
          <w:rFonts w:hint="eastAsia" w:ascii="宋体" w:hAnsi="宋体" w:eastAsia="宋体" w:cs="宋体"/>
          <w:b/>
          <w:color w:val="000000" w:themeColor="text1"/>
          <w:shd w:val="clear" w:color="auto" w:fill="auto"/>
          <w14:textFill>
            <w14:solidFill>
              <w14:schemeClr w14:val="tx1"/>
            </w14:solidFill>
          </w14:textFill>
        </w:rPr>
      </w:pPr>
    </w:p>
    <w:p w14:paraId="0F0760C8">
      <w:pPr>
        <w:outlineLvl w:val="0"/>
        <w:rPr>
          <w:rFonts w:hint="eastAsia" w:ascii="宋体" w:hAnsi="宋体" w:eastAsia="宋体" w:cs="宋体"/>
          <w:b/>
          <w:color w:val="000000" w:themeColor="text1"/>
          <w:shd w:val="clear" w:color="auto" w:fill="auto"/>
          <w14:textFill>
            <w14:solidFill>
              <w14:schemeClr w14:val="tx1"/>
            </w14:solidFill>
          </w14:textFill>
        </w:rPr>
      </w:pPr>
    </w:p>
    <w:p w14:paraId="4941FAC4">
      <w:pPr>
        <w:outlineLvl w:val="0"/>
        <w:rPr>
          <w:rFonts w:hint="eastAsia" w:ascii="宋体" w:hAnsi="宋体" w:eastAsia="宋体" w:cs="宋体"/>
          <w:b/>
          <w:color w:val="000000" w:themeColor="text1"/>
          <w:shd w:val="clear" w:color="auto" w:fill="auto"/>
          <w14:textFill>
            <w14:solidFill>
              <w14:schemeClr w14:val="tx1"/>
            </w14:solidFill>
          </w14:textFill>
        </w:rPr>
      </w:pPr>
    </w:p>
    <w:p w14:paraId="2249837A">
      <w:pPr>
        <w:outlineLvl w:val="0"/>
        <w:rPr>
          <w:rFonts w:hint="eastAsia" w:ascii="宋体" w:hAnsi="宋体" w:eastAsia="宋体" w:cs="宋体"/>
          <w:b/>
          <w:color w:val="000000" w:themeColor="text1"/>
          <w:shd w:val="clear" w:color="auto" w:fill="auto"/>
          <w14:textFill>
            <w14:solidFill>
              <w14:schemeClr w14:val="tx1"/>
            </w14:solidFill>
          </w14:textFill>
        </w:rPr>
      </w:pPr>
    </w:p>
    <w:p w14:paraId="0E508F6E">
      <w:pPr>
        <w:outlineLvl w:val="0"/>
        <w:rPr>
          <w:rFonts w:hint="eastAsia" w:ascii="宋体" w:hAnsi="宋体" w:eastAsia="宋体" w:cs="宋体"/>
          <w:b/>
          <w:color w:val="000000" w:themeColor="text1"/>
          <w:shd w:val="clear" w:color="auto" w:fill="auto"/>
          <w14:textFill>
            <w14:solidFill>
              <w14:schemeClr w14:val="tx1"/>
            </w14:solidFill>
          </w14:textFill>
        </w:rPr>
      </w:pPr>
    </w:p>
    <w:p w14:paraId="7A0AB85A">
      <w:pPr>
        <w:outlineLvl w:val="0"/>
        <w:rPr>
          <w:rFonts w:hint="eastAsia" w:ascii="宋体" w:hAnsi="宋体" w:eastAsia="宋体" w:cs="宋体"/>
          <w:b/>
          <w:color w:val="000000" w:themeColor="text1"/>
          <w:shd w:val="clear" w:color="auto" w:fill="auto"/>
          <w14:textFill>
            <w14:solidFill>
              <w14:schemeClr w14:val="tx1"/>
            </w14:solidFill>
          </w14:textFill>
        </w:rPr>
      </w:pPr>
    </w:p>
    <w:p w14:paraId="48B983D5">
      <w:pPr>
        <w:outlineLvl w:val="0"/>
        <w:rPr>
          <w:rFonts w:hint="eastAsia" w:ascii="宋体" w:hAnsi="宋体" w:eastAsia="宋体" w:cs="宋体"/>
          <w:b/>
          <w:color w:val="000000" w:themeColor="text1"/>
          <w:shd w:val="clear" w:color="auto" w:fill="auto"/>
          <w14:textFill>
            <w14:solidFill>
              <w14:schemeClr w14:val="tx1"/>
            </w14:solidFill>
          </w14:textFill>
        </w:rPr>
      </w:pPr>
    </w:p>
    <w:p w14:paraId="4823D942">
      <w:pPr>
        <w:outlineLvl w:val="0"/>
        <w:rPr>
          <w:rFonts w:hint="eastAsia" w:ascii="宋体" w:hAnsi="宋体" w:eastAsia="宋体" w:cs="宋体"/>
          <w:b/>
          <w:color w:val="000000" w:themeColor="text1"/>
          <w:shd w:val="clear" w:color="auto" w:fill="auto"/>
          <w14:textFill>
            <w14:solidFill>
              <w14:schemeClr w14:val="tx1"/>
            </w14:solidFill>
          </w14:textFill>
        </w:rPr>
      </w:pPr>
    </w:p>
    <w:p w14:paraId="168ABEEE">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13888363"/>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63CB29-BE53-41E9-A2F3-168606AEDA7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23B0E47E-7D8A-495D-8E50-E0851891378D}"/>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3" w:fontKey="{7E4F2491-B2D9-431E-BAE1-B9FEF8BCA67A}"/>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4" w:fontKey="{672AB984-CF5E-43E4-A8EE-11D069638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21D673F"/>
    <w:rsid w:val="024043A7"/>
    <w:rsid w:val="02B325DC"/>
    <w:rsid w:val="02D84414"/>
    <w:rsid w:val="02FE0C09"/>
    <w:rsid w:val="034872EB"/>
    <w:rsid w:val="037759DB"/>
    <w:rsid w:val="03921202"/>
    <w:rsid w:val="039C4C1C"/>
    <w:rsid w:val="03BB3ADF"/>
    <w:rsid w:val="03C2134C"/>
    <w:rsid w:val="03D1158F"/>
    <w:rsid w:val="04B117F8"/>
    <w:rsid w:val="04DA26C6"/>
    <w:rsid w:val="04DE1E0F"/>
    <w:rsid w:val="04F00597"/>
    <w:rsid w:val="05290F57"/>
    <w:rsid w:val="057271A5"/>
    <w:rsid w:val="05AB6E25"/>
    <w:rsid w:val="05E64439"/>
    <w:rsid w:val="05E94CDF"/>
    <w:rsid w:val="060E092E"/>
    <w:rsid w:val="065A1406"/>
    <w:rsid w:val="067D7A0C"/>
    <w:rsid w:val="06A45EA9"/>
    <w:rsid w:val="06BC1BB0"/>
    <w:rsid w:val="074B1659"/>
    <w:rsid w:val="07911761"/>
    <w:rsid w:val="07C5765D"/>
    <w:rsid w:val="07F26429"/>
    <w:rsid w:val="084C34CD"/>
    <w:rsid w:val="09310382"/>
    <w:rsid w:val="094176DB"/>
    <w:rsid w:val="0951448A"/>
    <w:rsid w:val="0983062E"/>
    <w:rsid w:val="0ACB5503"/>
    <w:rsid w:val="0ACF458A"/>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31382A"/>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78142E"/>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570CBF"/>
    <w:rsid w:val="1E8652AA"/>
    <w:rsid w:val="1E9D4968"/>
    <w:rsid w:val="1EB13D33"/>
    <w:rsid w:val="1ECC73BB"/>
    <w:rsid w:val="1EEA6CFF"/>
    <w:rsid w:val="1F062593"/>
    <w:rsid w:val="1F08489B"/>
    <w:rsid w:val="1F2D0A6E"/>
    <w:rsid w:val="1F3A098C"/>
    <w:rsid w:val="1F3D23B3"/>
    <w:rsid w:val="1F6A74CC"/>
    <w:rsid w:val="1F6D6E4A"/>
    <w:rsid w:val="1F8009D9"/>
    <w:rsid w:val="1FA140B4"/>
    <w:rsid w:val="1FCE723D"/>
    <w:rsid w:val="1FD702B4"/>
    <w:rsid w:val="20084BEF"/>
    <w:rsid w:val="203372B2"/>
    <w:rsid w:val="204004F3"/>
    <w:rsid w:val="204C6181"/>
    <w:rsid w:val="20FB0BC7"/>
    <w:rsid w:val="2114239C"/>
    <w:rsid w:val="211803A6"/>
    <w:rsid w:val="216435EB"/>
    <w:rsid w:val="21C45BE8"/>
    <w:rsid w:val="21F678C9"/>
    <w:rsid w:val="21F94F0D"/>
    <w:rsid w:val="224F1BA5"/>
    <w:rsid w:val="22EF7055"/>
    <w:rsid w:val="231132FF"/>
    <w:rsid w:val="23743B1F"/>
    <w:rsid w:val="240C0392"/>
    <w:rsid w:val="24514D5A"/>
    <w:rsid w:val="24702D9C"/>
    <w:rsid w:val="24AB13E3"/>
    <w:rsid w:val="24E707BB"/>
    <w:rsid w:val="2501636C"/>
    <w:rsid w:val="254D6667"/>
    <w:rsid w:val="25B67319"/>
    <w:rsid w:val="25B7688A"/>
    <w:rsid w:val="25B91E1A"/>
    <w:rsid w:val="25FF0C6B"/>
    <w:rsid w:val="26380176"/>
    <w:rsid w:val="26A440C8"/>
    <w:rsid w:val="26D56CF3"/>
    <w:rsid w:val="26FE2E6F"/>
    <w:rsid w:val="271637DE"/>
    <w:rsid w:val="271E4A07"/>
    <w:rsid w:val="275D539C"/>
    <w:rsid w:val="27706A3C"/>
    <w:rsid w:val="27B41749"/>
    <w:rsid w:val="27BE30B5"/>
    <w:rsid w:val="28031161"/>
    <w:rsid w:val="282105EF"/>
    <w:rsid w:val="282D107F"/>
    <w:rsid w:val="28377F6C"/>
    <w:rsid w:val="28580457"/>
    <w:rsid w:val="287535CD"/>
    <w:rsid w:val="28CD4235"/>
    <w:rsid w:val="28D01566"/>
    <w:rsid w:val="28E31299"/>
    <w:rsid w:val="293D6BFB"/>
    <w:rsid w:val="29430470"/>
    <w:rsid w:val="29A81CF0"/>
    <w:rsid w:val="29F52A7C"/>
    <w:rsid w:val="2A0526D0"/>
    <w:rsid w:val="2A0812C8"/>
    <w:rsid w:val="2B2C4917"/>
    <w:rsid w:val="2B3D6767"/>
    <w:rsid w:val="2B411C38"/>
    <w:rsid w:val="2B57565F"/>
    <w:rsid w:val="2BBD2276"/>
    <w:rsid w:val="2C812A23"/>
    <w:rsid w:val="2CDF621C"/>
    <w:rsid w:val="2CE02E81"/>
    <w:rsid w:val="2CF2794B"/>
    <w:rsid w:val="2D9073ED"/>
    <w:rsid w:val="2DDB0955"/>
    <w:rsid w:val="2DDE0220"/>
    <w:rsid w:val="2E1F2D74"/>
    <w:rsid w:val="2E454084"/>
    <w:rsid w:val="2E4A05E4"/>
    <w:rsid w:val="2E6141F3"/>
    <w:rsid w:val="2E8A3F18"/>
    <w:rsid w:val="2F124686"/>
    <w:rsid w:val="2F1F1F02"/>
    <w:rsid w:val="2F2348BD"/>
    <w:rsid w:val="2F57478F"/>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83F93"/>
    <w:rsid w:val="382D2437"/>
    <w:rsid w:val="38442273"/>
    <w:rsid w:val="384E006D"/>
    <w:rsid w:val="385D0EF3"/>
    <w:rsid w:val="387D36CA"/>
    <w:rsid w:val="389536A9"/>
    <w:rsid w:val="38BF4D66"/>
    <w:rsid w:val="38C010B0"/>
    <w:rsid w:val="38DE382B"/>
    <w:rsid w:val="38E86458"/>
    <w:rsid w:val="38EB2B69"/>
    <w:rsid w:val="391C67AE"/>
    <w:rsid w:val="39486CC3"/>
    <w:rsid w:val="398B0863"/>
    <w:rsid w:val="39A3534F"/>
    <w:rsid w:val="39D65068"/>
    <w:rsid w:val="3AA25DEC"/>
    <w:rsid w:val="3AC648F5"/>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C81C9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25564B"/>
    <w:rsid w:val="492C6FBB"/>
    <w:rsid w:val="499D1F70"/>
    <w:rsid w:val="4A1025A8"/>
    <w:rsid w:val="4A832C17"/>
    <w:rsid w:val="4A9100D0"/>
    <w:rsid w:val="4AC26B09"/>
    <w:rsid w:val="4AD056CA"/>
    <w:rsid w:val="4AD41B9B"/>
    <w:rsid w:val="4AED1C9D"/>
    <w:rsid w:val="4B597B89"/>
    <w:rsid w:val="4BE8259F"/>
    <w:rsid w:val="4C025EBB"/>
    <w:rsid w:val="4C1B5016"/>
    <w:rsid w:val="4C2D08FA"/>
    <w:rsid w:val="4C4E289A"/>
    <w:rsid w:val="4CC56D84"/>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9E2395"/>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E5E05"/>
    <w:rsid w:val="648C045C"/>
    <w:rsid w:val="64A323C6"/>
    <w:rsid w:val="64A83BDE"/>
    <w:rsid w:val="6567664A"/>
    <w:rsid w:val="656A40F1"/>
    <w:rsid w:val="657A7C6A"/>
    <w:rsid w:val="658C5E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CF52ED"/>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70783234"/>
    <w:rsid w:val="70E64A50"/>
    <w:rsid w:val="710A408D"/>
    <w:rsid w:val="71231A63"/>
    <w:rsid w:val="714B6E37"/>
    <w:rsid w:val="71C72BEE"/>
    <w:rsid w:val="72AA2579"/>
    <w:rsid w:val="72AC1CC9"/>
    <w:rsid w:val="73614D85"/>
    <w:rsid w:val="7363682B"/>
    <w:rsid w:val="7363763C"/>
    <w:rsid w:val="739465A0"/>
    <w:rsid w:val="73A82490"/>
    <w:rsid w:val="73AA3664"/>
    <w:rsid w:val="73B34AD5"/>
    <w:rsid w:val="73C14D7F"/>
    <w:rsid w:val="73D42B6E"/>
    <w:rsid w:val="743B3E3F"/>
    <w:rsid w:val="74655E47"/>
    <w:rsid w:val="74CE1079"/>
    <w:rsid w:val="74E41D61"/>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15159</Words>
  <Characters>15759</Characters>
  <Lines>182</Lines>
  <Paragraphs>51</Paragraphs>
  <TotalTime>1</TotalTime>
  <ScaleCrop>false</ScaleCrop>
  <LinksUpToDate>false</LinksUpToDate>
  <CharactersWithSpaces>17069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2026-02-04T00:14:50Z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