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W009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全科楼人脸识别门禁系统及可视对讲系统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全科楼人脸识别门禁系统及可视对讲系统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总预算48,386.00元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4.省级（或直辖市）及以上公共安防协会颁发的三级及以上安防资质证书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全科楼人脸识别门禁系统及可视对讲系统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全科楼人脸识别门禁系统及可视对讲系统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全科楼人脸识别门禁系统及可视对讲系统的技术参数要求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90"/>
        <w:gridCol w:w="1626"/>
        <w:gridCol w:w="1891"/>
        <w:gridCol w:w="1916"/>
      </w:tblGrid>
      <w:tr w14:paraId="113A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71FDDFC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490" w:type="dxa"/>
            <w:vAlign w:val="center"/>
          </w:tcPr>
          <w:p w14:paraId="323BF5D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1626" w:type="dxa"/>
            <w:vAlign w:val="center"/>
          </w:tcPr>
          <w:p w14:paraId="0890792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891" w:type="dxa"/>
            <w:vAlign w:val="center"/>
          </w:tcPr>
          <w:p w14:paraId="1C8BEC6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916" w:type="dxa"/>
            <w:vAlign w:val="center"/>
          </w:tcPr>
          <w:p w14:paraId="4A0E74F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CBA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2CD2F8E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90" w:type="dxa"/>
            <w:vAlign w:val="center"/>
          </w:tcPr>
          <w:p w14:paraId="73F2D0B2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人脸识别一体机</w:t>
            </w:r>
          </w:p>
        </w:tc>
        <w:tc>
          <w:tcPr>
            <w:tcW w:w="1626" w:type="dxa"/>
            <w:vAlign w:val="center"/>
          </w:tcPr>
          <w:p w14:paraId="358ADBB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891" w:type="dxa"/>
            <w:vAlign w:val="center"/>
          </w:tcPr>
          <w:p w14:paraId="155E46A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916" w:type="dxa"/>
            <w:vAlign w:val="center"/>
          </w:tcPr>
          <w:p w14:paraId="7CECFD4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1F0C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39A8028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490" w:type="dxa"/>
            <w:vAlign w:val="center"/>
          </w:tcPr>
          <w:p w14:paraId="36AAD6D7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双门磁力锁</w:t>
            </w:r>
          </w:p>
        </w:tc>
        <w:tc>
          <w:tcPr>
            <w:tcW w:w="1626" w:type="dxa"/>
            <w:vAlign w:val="center"/>
          </w:tcPr>
          <w:p w14:paraId="5F21D794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891" w:type="dxa"/>
            <w:vAlign w:val="center"/>
          </w:tcPr>
          <w:p w14:paraId="6D53CDA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把</w:t>
            </w:r>
          </w:p>
        </w:tc>
        <w:tc>
          <w:tcPr>
            <w:tcW w:w="1916" w:type="dxa"/>
            <w:vAlign w:val="center"/>
          </w:tcPr>
          <w:p w14:paraId="3E27288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4EF5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17AE842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490" w:type="dxa"/>
            <w:vAlign w:val="center"/>
          </w:tcPr>
          <w:p w14:paraId="01C9C047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门禁专用电源</w:t>
            </w:r>
          </w:p>
        </w:tc>
        <w:tc>
          <w:tcPr>
            <w:tcW w:w="1626" w:type="dxa"/>
            <w:vAlign w:val="center"/>
          </w:tcPr>
          <w:p w14:paraId="3F03102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891" w:type="dxa"/>
            <w:vAlign w:val="center"/>
          </w:tcPr>
          <w:p w14:paraId="49AEFB5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916" w:type="dxa"/>
            <w:vAlign w:val="center"/>
          </w:tcPr>
          <w:p w14:paraId="7F1241E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7E92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07197BD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490" w:type="dxa"/>
            <w:vAlign w:val="center"/>
          </w:tcPr>
          <w:p w14:paraId="51F1CC03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开门按钮</w:t>
            </w:r>
          </w:p>
        </w:tc>
        <w:tc>
          <w:tcPr>
            <w:tcW w:w="1626" w:type="dxa"/>
            <w:vAlign w:val="center"/>
          </w:tcPr>
          <w:p w14:paraId="339CDC9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891" w:type="dxa"/>
            <w:vAlign w:val="center"/>
          </w:tcPr>
          <w:p w14:paraId="5EBCD11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916" w:type="dxa"/>
            <w:vAlign w:val="center"/>
          </w:tcPr>
          <w:p w14:paraId="673EF37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3B0A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122367C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490" w:type="dxa"/>
            <w:vAlign w:val="center"/>
          </w:tcPr>
          <w:p w14:paraId="2F87A392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可视对讲门口机</w:t>
            </w:r>
          </w:p>
        </w:tc>
        <w:tc>
          <w:tcPr>
            <w:tcW w:w="1626" w:type="dxa"/>
            <w:vAlign w:val="center"/>
          </w:tcPr>
          <w:p w14:paraId="54A6D9F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891" w:type="dxa"/>
            <w:vAlign w:val="center"/>
          </w:tcPr>
          <w:p w14:paraId="3CBB924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916" w:type="dxa"/>
            <w:vAlign w:val="center"/>
          </w:tcPr>
          <w:p w14:paraId="2CB2401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2704A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39B12832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490" w:type="dxa"/>
            <w:vAlign w:val="center"/>
          </w:tcPr>
          <w:p w14:paraId="53CFAD5D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可视对讲室内机</w:t>
            </w:r>
          </w:p>
        </w:tc>
        <w:tc>
          <w:tcPr>
            <w:tcW w:w="1626" w:type="dxa"/>
            <w:vAlign w:val="center"/>
          </w:tcPr>
          <w:p w14:paraId="605B95B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91" w:type="dxa"/>
            <w:vAlign w:val="center"/>
          </w:tcPr>
          <w:p w14:paraId="3CF81EB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916" w:type="dxa"/>
            <w:vAlign w:val="center"/>
          </w:tcPr>
          <w:p w14:paraId="65040D6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41B6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3475C80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490" w:type="dxa"/>
            <w:vAlign w:val="center"/>
          </w:tcPr>
          <w:p w14:paraId="663BEF9F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交换机</w:t>
            </w:r>
          </w:p>
        </w:tc>
        <w:tc>
          <w:tcPr>
            <w:tcW w:w="1626" w:type="dxa"/>
            <w:vAlign w:val="center"/>
          </w:tcPr>
          <w:p w14:paraId="728A1600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891" w:type="dxa"/>
            <w:vAlign w:val="center"/>
          </w:tcPr>
          <w:p w14:paraId="1DCD2D2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916" w:type="dxa"/>
            <w:vAlign w:val="center"/>
          </w:tcPr>
          <w:p w14:paraId="0657DB1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3CBA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51C7DA3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490" w:type="dxa"/>
            <w:vAlign w:val="center"/>
          </w:tcPr>
          <w:p w14:paraId="094B5F23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网线</w:t>
            </w:r>
          </w:p>
        </w:tc>
        <w:tc>
          <w:tcPr>
            <w:tcW w:w="1626" w:type="dxa"/>
            <w:vAlign w:val="center"/>
          </w:tcPr>
          <w:p w14:paraId="402EC8F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2200</w:t>
            </w:r>
          </w:p>
        </w:tc>
        <w:tc>
          <w:tcPr>
            <w:tcW w:w="1891" w:type="dxa"/>
            <w:vAlign w:val="center"/>
          </w:tcPr>
          <w:p w14:paraId="5C10408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916" w:type="dxa"/>
            <w:vAlign w:val="center"/>
          </w:tcPr>
          <w:p w14:paraId="6AAFBC28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6203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7FD7C14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490" w:type="dxa"/>
            <w:vAlign w:val="center"/>
          </w:tcPr>
          <w:p w14:paraId="0E388FEE"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电源线</w:t>
            </w:r>
          </w:p>
        </w:tc>
        <w:tc>
          <w:tcPr>
            <w:tcW w:w="1626" w:type="dxa"/>
            <w:vAlign w:val="center"/>
          </w:tcPr>
          <w:p w14:paraId="1B97733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1850</w:t>
            </w:r>
          </w:p>
        </w:tc>
        <w:tc>
          <w:tcPr>
            <w:tcW w:w="1891" w:type="dxa"/>
            <w:vAlign w:val="center"/>
          </w:tcPr>
          <w:p w14:paraId="607AFDBE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916" w:type="dxa"/>
            <w:vAlign w:val="center"/>
          </w:tcPr>
          <w:p w14:paraId="0629209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  <w:tr w14:paraId="600B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2" w:type="dxa"/>
            <w:vAlign w:val="center"/>
          </w:tcPr>
          <w:p w14:paraId="7C703BF0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90" w:type="dxa"/>
            <w:vAlign w:val="center"/>
          </w:tcPr>
          <w:p w14:paraId="438F2A88">
            <w:pPr>
              <w:widowControl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安装辅材</w:t>
            </w:r>
          </w:p>
        </w:tc>
        <w:tc>
          <w:tcPr>
            <w:tcW w:w="1626" w:type="dxa"/>
            <w:vAlign w:val="center"/>
          </w:tcPr>
          <w:p w14:paraId="425C54E6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1" w:type="dxa"/>
            <w:vAlign w:val="center"/>
          </w:tcPr>
          <w:p w14:paraId="4ADDA424"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916" w:type="dxa"/>
            <w:vAlign w:val="center"/>
          </w:tcPr>
          <w:p w14:paraId="5C62E749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</w:p>
        </w:tc>
      </w:tr>
    </w:tbl>
    <w:p w14:paraId="2326EE5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技术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tbl>
      <w:tblPr>
        <w:tblStyle w:val="11"/>
        <w:tblW w:w="47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27"/>
        <w:gridCol w:w="6122"/>
      </w:tblGrid>
      <w:tr w14:paraId="1A05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7A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F6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CE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技术参数</w:t>
            </w:r>
          </w:p>
        </w:tc>
      </w:tr>
      <w:tr w14:paraId="27AF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7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8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人脸识别一体机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69A5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1.4.3寸横屏人脸门禁一体机。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2.组合认证：人脸+密码，人脸+卡片，卡片+密码，指纹+密码，指纹+卡片，指纹+密码+卡片，人脸+指纹，人脸+指纹+卡片，人脸+密码+指纹。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3.LAN、WIFI双网络，支持多网络同时连接(10M/100M自适应)；RS-485接口×1个；韦根接口×1个；USB接口×1个；喇叭扬声器；门锁I/O输出×1个；门磁I/O输入×1个；开门按钮I/O输入X1个；机械防拆开关×1个。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4.屏幕防暴等级IK04，设备结构后壳防破坏能力应满足IK07要求。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5.设备支持在管理中心远程视频预览功能；支持与管理平台或客户端中心、室内机、管理机、手机APP可视对讲功能；能通过web进行视频连接；支持配置一键呼叫管理机或室内机的可视对讲功能。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设备支持本地加密存储进出事件、人员信息及抓拍人脸照片；设备支持实时加密传进出事件、人员信息及抓拍人脸照片等至管理中心；设备支持断网续传离线加密进出记录功能；设备USB导出的数据（进出事件等）采用加密处理；人员信息及进出事件采用加密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支持人脸在画面内持续动态监测；人脸验证功能，现场抓拍人脸照片与本地人脸库照片进行比对，进行人员身份核验；联网与后端平台对接，实现人脸比对功能；支持在0.0011ux低照度无补光环境下正常实现人脸验证，适应强光、逆光、暗光等条件的人脸验证；支持侧脸，遮挡，模糊，表情，戴眼镜及帽子等实际场景识别；支持用户人脸数据下发及人脸验证双线程同步工作；设备垂直及水平区域人脸验证范围应能设置；人脸在各角度偏转±45°，能进行人脸验证，并且该识别角度应能支持设置；人脸验证应支持多阈值设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为保障设备统一平台管理，设备须无缝对接医院现有门禁系统，提供无缝对接承诺函并加盖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供货方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鲜章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257C2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3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7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双门磁力锁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BC15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1.铝外壳采用高强度合金材料，阳极硬化处理。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2.最大静态直线拉力：230kg±10%*2。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3.断电开锁，满足消防要求。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4.指示灯：红灯为开锁状态， 绿灯为上锁状态；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5.支持锁状态侦测信号(门磁)输出：NO/NC/COM接点。</w:t>
            </w:r>
          </w:p>
        </w:tc>
      </w:tr>
      <w:tr w14:paraId="26E3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F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BA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门禁专业电源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4607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1.输入电压：100-240VAC。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2.输出电压：12VDC。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3.输出电流：4.17A。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4.输出功率：50W。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5.工作温度：-30℃-+70℃。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6.工作湿度：＜95%。</w:t>
            </w:r>
          </w:p>
        </w:tc>
      </w:tr>
      <w:tr w14:paraId="1DA7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0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59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开门按钮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839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1.结构：塑料面板.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2.性能：最大耐电流1.25A，电压250V。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3.输出：常开。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4.类型：适合埋入式电器盒使用。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5.尺寸：86*86mm。</w:t>
            </w:r>
          </w:p>
        </w:tc>
      </w:tr>
      <w:tr w14:paraId="5B6FB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0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48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可视对讲门口机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998E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1.采用≥200W高清摄像头（宽动态，120度超广角），支持7*24全天候预览、录像。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2.采用智能补光，设备自动判断环境光照实施红外补光。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3.支持控制单元门的电控。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4.支持外接一个RS485读卡器，作为出门读卡使用。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5.支持母卡发卡以及室内机远程发卡功能，最多支持50张卡。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6.支持一台主机最多可带5台设备（室内机、门口机均可）。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7.支持报警功能，设备带门磁报警接入、防拆报警。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8.采用先进的硬件噪声抑制与回声消除技术，保证话音质量清晰明亮。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9.工程安装便利性（支持中心远程升级、本地Web管理，支持刷机批量配置）。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10.具备呼梯功能。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11.供电方式：POE；DC 12V。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12.语言：中文。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13.工作温度： -30℃~60℃。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14.IP防护等级： IP65。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为保障设备统一平台管理，设备需无缝对接医院现有门禁系统，提供无缝对接承诺函并加盖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供货方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鲜章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51267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E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8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可视对讲室内机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E202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1.显示屏：≥7寸彩色触摸TFT LCD。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2.显示屏分辨率：≥1024*600。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3.操作方式：电容式触摸屏。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4.网线供电：支持。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5.防区数：8防区。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6.网口：10M/100M自适应以太网口。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7.外观尺寸：200 mm × 140 mm × 23.5 mm（长 × 宽 × 高）。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8.电源：网线供电或DC12V。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9.功耗：≤10W。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10.处理器: 高性能嵌入式处理器。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为保障设备统一平台管理，设备需无缝对接医院现有门禁系统，提供无缝对接承诺函并加盖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供货方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鲜章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CED0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2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B5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交换机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D488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1.8个10/100/1000BASE-T以太网端口(54W PoE+)。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2.1个千兆SFP。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3.1个10/100/1000BASE-T以太网端口。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4.含1个交流适配器。</w:t>
            </w:r>
          </w:p>
        </w:tc>
      </w:tr>
      <w:tr w14:paraId="1150D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B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2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网线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22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超五类网线，4对×2芯×0.5mm²</w:t>
            </w:r>
          </w:p>
        </w:tc>
      </w:tr>
      <w:tr w14:paraId="7A33C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E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A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电源线</w:t>
            </w:r>
          </w:p>
        </w:tc>
        <w:tc>
          <w:tcPr>
            <w:tcW w:w="3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9C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纯铜RVV2*0.75</w:t>
            </w:r>
          </w:p>
        </w:tc>
      </w:tr>
      <w:tr w14:paraId="2300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00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8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安装辅材</w:t>
            </w:r>
          </w:p>
        </w:tc>
      </w:tr>
    </w:tbl>
    <w:p w14:paraId="46B80CD7">
      <w:pPr>
        <w:spacing w:line="520" w:lineRule="exact"/>
        <w:ind w:firstLine="482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三、其他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0A0A0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院办公室档案室（20层）、财务科档案室（20层）、人事科档案室（21层）安装人脸识别门禁系统各2套；24层办公区域4个通道需要进行管控，安装4套人脸识别门禁系统及4套可视对讲系统；顶楼区域2个通道需要管控，安装2套人脸识别门禁系统；裙楼主要出入口（7层）需要管控，安装1套人脸识别门禁系统（需与消防报警主机联动）。</w:t>
      </w:r>
    </w:p>
    <w:p w14:paraId="08A17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2.所有设备需与院区现有综合安防平台无缝对接，并提供无缝对接承诺函加盖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鲜章。</w:t>
      </w:r>
    </w:p>
    <w:p w14:paraId="65189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3.施工前需在医院相关部门办理施工许可申请；所有线管均需穿管处理，施工必须符合国家相关标准和规范；施工后需对场地进行清理打扫。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4.所有设备安装完成需开展调试，确保其能正常进行使用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附件2：全科楼人脸识别门禁系统及可视对讲系统的商务需求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采购的产品为正规厂家生产的全新合格产品，产品质量须符合国家相关标准，提供产品检验报告或合格证明；所有产品及其配件质保期1年及以上，质保期内损坏须免费维修、更换。</w:t>
      </w:r>
    </w:p>
    <w:p w14:paraId="2D056AE5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.现场勘察：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须到现场进行勘察，相关情况请联系秦老师（联系电话：15909333944）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.工期要求：采购合同签订后，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应在接到采购方电话通知30个日历日内完成设备安装及调试工作。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报价为包干价，包含货款、运输费、人工费、机械使用费、管理费、安全文明施工费、税费等各项费用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.验收方式：设备调试安装完毕后，由采购方组织相关人员与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共同验收，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须移交产品合格证等材料，验收</w:t>
      </w:r>
      <w:r>
        <w:rPr>
          <w:rFonts w:hint="eastAsia" w:hAnsi="宋体" w:cs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 w:eastAsia="宋体" w:cs="宋体"/>
          <w:sz w:val="24"/>
          <w:szCs w:val="24"/>
        </w:rPr>
        <w:t>后双方</w:t>
      </w:r>
      <w:r>
        <w:rPr>
          <w:rFonts w:hint="eastAsia" w:hAnsi="宋体" w:cs="宋体"/>
          <w:sz w:val="24"/>
          <w:szCs w:val="24"/>
          <w:lang w:val="en-US" w:eastAsia="zh-CN"/>
        </w:rPr>
        <w:t>共同</w:t>
      </w:r>
      <w:r>
        <w:rPr>
          <w:rFonts w:hint="eastAsia" w:ascii="宋体" w:hAnsi="宋体" w:eastAsia="宋体" w:cs="宋体"/>
          <w:sz w:val="24"/>
          <w:szCs w:val="24"/>
        </w:rPr>
        <w:t>签字确认。</w:t>
      </w:r>
    </w:p>
    <w:p w14:paraId="3B264F1C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合同签订后供货方向采购方转账支付合同金额的8%作为履约保证金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073F126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验收合格后，供货方提供验收资料、有效合法的发票，经采购方审核无误后60日内以转账方式向供货方支付合同价款100%；因供货方开具发票不符合要求的，采购方有权拒绝支付合同价款且不承担任何延迟履行的责任；</w:t>
      </w:r>
    </w:p>
    <w:p w14:paraId="3583986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履约保证金在质保期满后无息支付（合同质保期指的是：从设备验收合格的次日起开始计算，共计X年，若质保期有特殊情况，需经双方进行确认）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.售后服务：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接到采购方通知后应立即响应，电话咨询不能解决的应在24小时内安排技术人员到达现场处理，直至解除设施故障，给采购方造成损失的应由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负责赔偿。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应认真履行售后服务承诺，质保期后提供售后维修服务的，维修只收取配件费。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提供有效的维修联系人和电话，如有变更，应及时通知采购方。</w:t>
      </w: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3F3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4" w:type="dxa"/>
            <w:noWrap w:val="0"/>
            <w:vAlign w:val="center"/>
          </w:tcPr>
          <w:p w14:paraId="1B51C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64" w:type="dxa"/>
            <w:noWrap w:val="0"/>
            <w:vAlign w:val="center"/>
          </w:tcPr>
          <w:p w14:paraId="2A3F26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45DBE1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8119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25259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D3B7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A84FC5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7B0173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207592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9D99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61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4" w:type="dxa"/>
            <w:noWrap w:val="0"/>
            <w:vAlign w:val="center"/>
          </w:tcPr>
          <w:p w14:paraId="48E8D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64" w:type="dxa"/>
            <w:noWrap w:val="0"/>
            <w:vAlign w:val="center"/>
          </w:tcPr>
          <w:p w14:paraId="361192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42654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119AE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3E904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482EA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F70734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10EC73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CD107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387EA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3B6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4EB105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0F2572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1F2A1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B162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F7FE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top"/>
          </w:tcPr>
          <w:p w14:paraId="62F16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top"/>
          </w:tcPr>
          <w:p w14:paraId="70B40B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065C2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5CFC71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4CB8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不限于货款、运输费、人工费、机械使用费、管理费、安全文明施工费、税费等各项费用；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0D8F340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72FBEC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52D44CE"/>
    <w:rsid w:val="16F2564D"/>
    <w:rsid w:val="171C0087"/>
    <w:rsid w:val="17312619"/>
    <w:rsid w:val="191775ED"/>
    <w:rsid w:val="19575737"/>
    <w:rsid w:val="1A3A71B0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1D4C56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3874</Words>
  <Characters>4277</Characters>
  <Lines>12</Lines>
  <Paragraphs>3</Paragraphs>
  <TotalTime>4</TotalTime>
  <ScaleCrop>false</ScaleCrop>
  <LinksUpToDate>false</LinksUpToDate>
  <CharactersWithSpaces>4630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2025-02-18T04:14:00Z</cp:lastPrinted>
  <dcterms:modified xsi:type="dcterms:W3CDTF">2026-02-10T00:53:34Z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