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A1E3957">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2026FW021</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自助取袋机服务</w:t>
      </w: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六</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1641050"/>
      <w:bookmarkStart w:id="1" w:name="_Toc25875"/>
      <w:bookmarkStart w:id="2" w:name="_Toc485108766"/>
      <w:bookmarkStart w:id="3" w:name="_Toc23588"/>
      <w:bookmarkStart w:id="4" w:name="_Toc6921"/>
      <w:bookmarkStart w:id="5" w:name="_Toc12789052"/>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自助取袋机服务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7775175"/>
      <w:bookmarkStart w:id="9" w:name="_Toc28443"/>
      <w:bookmarkStart w:id="10" w:name="_Toc485108767"/>
      <w:bookmarkStart w:id="11" w:name="_Toc313893526"/>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自助取袋机服务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服务期：合同签订之日起至2028年4月30日</w:t>
            </w: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6609"/>
      <w:bookmarkStart w:id="13"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：自筹资金,项目预算：据实结算。</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485108774"/>
      <w:bookmarkStart w:id="19" w:name="_Toc102227313"/>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大学附属永川医院</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b/>
          <w:bCs/>
          <w:i w:val="0"/>
          <w:iCs w:val="0"/>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起</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10</w:t>
      </w:r>
      <w:bookmarkStart w:id="191" w:name="_GoBack"/>
      <w:bookmarkEnd w:id="191"/>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i w:val="0"/>
          <w:iCs w:val="0"/>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i w:val="0"/>
          <w:i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i w:val="0"/>
          <w:iCs w:val="0"/>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5105</w:t>
      </w:r>
      <w:r>
        <w:rPr>
          <w:rFonts w:hint="eastAsia" w:ascii="宋体" w:hAnsi="宋体" w:eastAsia="宋体" w:cs="宋体"/>
          <w:b/>
          <w:bCs/>
          <w:color w:val="000000" w:themeColor="text1"/>
          <w:sz w:val="24"/>
          <w:szCs w:val="24"/>
          <w:shd w:val="clear" w:color="auto" w:fill="auto"/>
          <w14:textFill>
            <w14:solidFill>
              <w14:schemeClr w14:val="tx1"/>
            </w14:solidFill>
          </w14:textFill>
        </w:rPr>
        <w:t>,请一定使用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X</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X</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171062"/>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4C0800D1">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七、现场踏勘</w:t>
      </w:r>
    </w:p>
    <w:p w14:paraId="7371825E">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（一）各潜在供应商需充分了解现场状况，合理安排施工周期，编制响应文件时需提供施工方案、工期及施工进度表，供应商</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须到</w:t>
      </w:r>
      <w:r>
        <w:rPr>
          <w:rFonts w:hint="eastAsia" w:ascii="宋体" w:hAnsi="宋体" w:eastAsia="宋体" w:cs="宋体"/>
          <w:color w:val="000000" w:themeColor="text1"/>
          <w:sz w:val="24"/>
          <w:szCs w:val="24"/>
          <w:shd w:val="clear" w:color="auto" w:fill="auto"/>
          <w14:textFill>
            <w14:solidFill>
              <w14:schemeClr w14:val="tx1"/>
            </w14:solidFill>
          </w14:textFill>
        </w:rPr>
        <w:t>现场踏勘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工作日内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，无论供应商是否前往现场踏勘，均视为已详细了解现场情况，踏勘现场产生的费用及安全责任由供应商自行负责。供应商踏勘现场时需向医院提供单位介绍信、踏勘现场人员的身份证复印件(身份证原件备查)。</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30999BBA">
      <w:pPr>
        <w:spacing w:line="400" w:lineRule="exact"/>
        <w:ind w:firstLine="480" w:firstLineChars="200"/>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1.服务方</w:t>
      </w:r>
      <w:bookmarkStart w:id="37" w:name="OLE_LINK2"/>
      <w:bookmarkStart w:id="38" w:name="OLE_LINK1"/>
      <w:r>
        <w:rPr>
          <w:rFonts w:hint="eastAsia" w:ascii="宋体" w:hAnsi="宋体" w:eastAsia="宋体" w:cs="宋体"/>
          <w:color w:val="FF0000"/>
          <w:kern w:val="2"/>
          <w:sz w:val="24"/>
          <w:szCs w:val="24"/>
          <w:shd w:val="clear" w:color="auto" w:fill="auto"/>
          <w:lang w:val="en-US" w:eastAsia="zh-CN" w:bidi="ar-SA"/>
        </w:rPr>
        <w:t>根据设备用电功率情况向采购方缴纳电费</w:t>
      </w:r>
      <w:bookmarkEnd w:id="37"/>
      <w:bookmarkEnd w:id="38"/>
      <w:r>
        <w:rPr>
          <w:rFonts w:hint="eastAsia" w:ascii="宋体" w:hAnsi="宋体" w:eastAsia="宋体" w:cs="宋体"/>
          <w:color w:val="FF0000"/>
          <w:kern w:val="2"/>
          <w:sz w:val="24"/>
          <w:szCs w:val="24"/>
          <w:shd w:val="clear" w:color="auto" w:fill="auto"/>
          <w:lang w:val="en-US" w:eastAsia="zh-CN" w:bidi="ar-SA"/>
        </w:rPr>
        <w:t>，服务方应综合考虑各项因素，因自身原因造成自行承担责任，采购方不再补偿。（报价表见第六章）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9" w:name="OLE_LINK9"/>
      <w:bookmarkStart w:id="40" w:name="OLE_LINK3"/>
      <w:bookmarkStart w:id="41"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9"/>
    <w:bookmarkEnd w:id="40"/>
    <w:bookmarkEnd w:id="41"/>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2" w:name="_Toc403569780"/>
      <w:bookmarkStart w:id="43" w:name="_Toc342913393"/>
      <w:bookmarkStart w:id="44" w:name="_Toc179714298"/>
      <w:bookmarkStart w:id="45" w:name="_Toc18122"/>
      <w:bookmarkStart w:id="46" w:name="_Toc19143"/>
      <w:bookmarkStart w:id="47"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2"/>
      <w:bookmarkEnd w:id="43"/>
      <w:bookmarkEnd w:id="44"/>
      <w:bookmarkEnd w:id="45"/>
      <w:bookmarkEnd w:id="46"/>
      <w:bookmarkEnd w:id="47"/>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8" w:name="_Toc28776"/>
      <w:bookmarkStart w:id="49" w:name="_Toc403569781"/>
      <w:bookmarkStart w:id="50" w:name="_Toc14247"/>
      <w:bookmarkStart w:id="51" w:name="_Toc102227320"/>
      <w:bookmarkStart w:id="52"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8"/>
      <w:bookmarkEnd w:id="49"/>
      <w:bookmarkEnd w:id="50"/>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3" w:name="_Toc29340"/>
      <w:bookmarkStart w:id="54" w:name="_Toc14816"/>
      <w:bookmarkStart w:id="55"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51"/>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2"/>
      <w:bookmarkEnd w:id="53"/>
      <w:bookmarkEnd w:id="54"/>
      <w:bookmarkEnd w:id="55"/>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w:t>
      </w:r>
      <w:r>
        <w:rPr>
          <w:rFonts w:hint="eastAsia" w:ascii="宋体" w:hAnsi="宋体" w:eastAsia="宋体" w:cs="宋体"/>
          <w:color w:val="FF0000"/>
          <w:sz w:val="24"/>
          <w:szCs w:val="24"/>
          <w:shd w:val="clear" w:color="auto" w:fill="auto"/>
        </w:rPr>
        <w:t>价由</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的顺序</w:t>
      </w:r>
      <w:r>
        <w:rPr>
          <w:rFonts w:hint="eastAsia" w:ascii="宋体" w:hAnsi="宋体" w:eastAsia="宋体" w:cs="宋体"/>
          <w:color w:val="000000" w:themeColor="text1"/>
          <w:sz w:val="24"/>
          <w:szCs w:val="24"/>
          <w:shd w:val="clear" w:color="auto" w:fill="auto"/>
          <w14:textFill>
            <w14:solidFill>
              <w14:schemeClr w14:val="tx1"/>
            </w14:solidFill>
          </w14:textFill>
        </w:rPr>
        <w:t>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000000" w:themeColor="text1"/>
          <w:sz w:val="24"/>
          <w:szCs w:val="24"/>
          <w:shd w:val="clear" w:color="auto" w:fill="auto"/>
          <w14:textFill>
            <w14:solidFill>
              <w14:schemeClr w14:val="tx1"/>
            </w14:solidFill>
          </w14:textFill>
        </w:rPr>
        <w:t>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6" w:name="_Toc7135"/>
      <w:bookmarkStart w:id="57" w:name="_Toc403569783"/>
      <w:bookmarkStart w:id="58" w:name="_Toc342913395"/>
      <w:bookmarkStart w:id="59" w:name="_Toc3212"/>
      <w:bookmarkStart w:id="60" w:name="_Toc102227321"/>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6"/>
      <w:bookmarkEnd w:id="57"/>
      <w:bookmarkEnd w:id="58"/>
      <w:bookmarkEnd w:id="59"/>
      <w:bookmarkEnd w:id="60"/>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1" w:name="_Toc12880"/>
      <w:bookmarkStart w:id="62" w:name="_Toc17413"/>
      <w:bookmarkStart w:id="63"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61"/>
      <w:bookmarkEnd w:id="62"/>
      <w:bookmarkEnd w:id="63"/>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4" w:name="_Toc102227322"/>
      <w:bookmarkStart w:id="65" w:name="_Toc342913396"/>
      <w:bookmarkStart w:id="66" w:name="_Toc403569785"/>
      <w:bookmarkStart w:id="67"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8"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4"/>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5"/>
      <w:bookmarkEnd w:id="66"/>
      <w:bookmarkEnd w:id="67"/>
      <w:bookmarkEnd w:id="68"/>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9" w:name="_Toc11770"/>
      <w:bookmarkStart w:id="70"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1" w:name="_Toc7206"/>
      <w:bookmarkStart w:id="72"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9"/>
      <w:bookmarkEnd w:id="70"/>
      <w:bookmarkEnd w:id="71"/>
      <w:bookmarkEnd w:id="72"/>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3" w:name="_Toc28327"/>
      <w:bookmarkStart w:id="74" w:name="_Toc12789058"/>
      <w:bookmarkStart w:id="75"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4684155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1.投放地点：兴龙湖院区。</w:t>
      </w:r>
    </w:p>
    <w:p w14:paraId="54B0239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2.投放数量：门诊西药房2台、门诊中药房1台、住院部药房1台、急诊药房1台，放射科1台，共6台。</w:t>
      </w:r>
    </w:p>
    <w:p w14:paraId="4AD658C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3.基本要求：服务方投放的环保袋须满足医院西药、中药、影像资料（X/CT/MRI片）的包装。投放数量和地点根据医院多院区运行需求新增或调整放置数量和地点。</w:t>
      </w:r>
    </w:p>
    <w:p w14:paraId="4985E164">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.服务方提供自助式、智慧化自助取袋机（含环保购物袋及后续补料），所提供的环保袋必须是无毒无害且可降解的环保袋，且符合国家卫生、环保、安全等标准，投标时提供环保袋检测报告。</w:t>
      </w:r>
    </w:p>
    <w:p w14:paraId="00EF557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采购方提供场地及电源接口，服务方提供自助取袋机并全权负责与自助取袋机有关的运营，保证其经营的合法性，负责自助取袋机的日常运营、维护及销售商品的售后服务，所有商品符合国家卫生、环保、安全标准，采购方有权进行抽检监管，如有发生安全问题服务方负相关责任。</w:t>
      </w:r>
    </w:p>
    <w:p w14:paraId="75A2342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.服务方按时完成设备安装调试。自助取袋机安装点经选定后，未经许可不得擅自改变，所选安装点不得影响采购方的正常医疗秩序。</w:t>
      </w:r>
    </w:p>
    <w:p w14:paraId="56EC80B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.服务方应及时补充环保袋，确保设备安全、可靠，并承担因设备安全事故导致的一切经济和法律责任。</w:t>
      </w:r>
    </w:p>
    <w:p w14:paraId="74DDA82B">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EBC5D8B">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2C58BC36">
      <w:pPr>
        <w:rPr>
          <w:rFonts w:hint="eastAsia" w:ascii="宋体" w:hAnsi="宋体" w:eastAsia="宋体" w:cs="宋体"/>
          <w:b/>
          <w:color w:val="000000" w:themeColor="text1"/>
          <w:sz w:val="36"/>
          <w:szCs w:val="36"/>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br w:type="page"/>
      </w: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6" w:name="_Toc17014"/>
      <w:bookmarkStart w:id="77" w:name="_Toc4364"/>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3"/>
      <w:bookmarkEnd w:id="74"/>
      <w:bookmarkEnd w:id="75"/>
      <w:bookmarkEnd w:id="76"/>
      <w:bookmarkEnd w:id="77"/>
      <w:bookmarkStart w:id="78" w:name="_Toc11641055"/>
      <w:bookmarkStart w:id="79" w:name="_Toc12789059"/>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80" w:name="_Toc11645"/>
      <w:bookmarkStart w:id="81" w:name="_Toc7358"/>
      <w:bookmarkStart w:id="82" w:name="_Toc485108793"/>
      <w:bookmarkStart w:id="83"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2C988BEF">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.合同期限：合同签订之日起至2028年4月30日。</w:t>
      </w:r>
    </w:p>
    <w:p w14:paraId="5CEBB9C7">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rPr>
        <w:t>.报价要求：服务方根据设备用电功率情况向采购方缴纳电费，服务方应综合考虑各项因素，因自身原因造成自行承担责任，采购方不再补偿。</w:t>
      </w:r>
    </w:p>
    <w:p w14:paraId="2705F489">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rPr>
        <w:t>付款方式：服务方提前预付每季度电费，每季度末提前支付下一季度费用。如未按时支付，经采购方催缴仍不缴纳的，解除合同。</w:t>
      </w:r>
    </w:p>
    <w:p w14:paraId="6632E804">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rPr>
        <w:t>售后服务：服务方开通24小时客服热线，如在服务过程出现任何客户投诉事宜或设备故障事宜，拔打客服热线，服务方保证在24小时内安排专人处理相关事宜。</w:t>
      </w:r>
    </w:p>
    <w:p w14:paraId="2CD389A4">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5.</w:t>
      </w:r>
      <w:r>
        <w:rPr>
          <w:rFonts w:hint="eastAsia" w:ascii="宋体" w:hAnsi="宋体" w:eastAsia="宋体" w:cs="宋体"/>
          <w:color w:val="FF0000"/>
          <w:sz w:val="24"/>
          <w:szCs w:val="24"/>
          <w:shd w:val="clear" w:color="auto" w:fill="auto"/>
        </w:rPr>
        <w:t>其他要求：取袋机必须是合格产品，质量要求达到国家规范和安全标准，性能稳定、安全可靠。取袋机机身及扫码后不能出现引起误解的广告，推销等信息。</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80"/>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81"/>
      <w:bookmarkEnd w:id="82"/>
      <w:bookmarkEnd w:id="83"/>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8"/>
      <w:bookmarkEnd w:id="79"/>
      <w:bookmarkStart w:id="84" w:name="_Toc485108794"/>
      <w:bookmarkStart w:id="85" w:name="_Toc26989"/>
      <w:bookmarkStart w:id="86" w:name="_Toc14840"/>
      <w:bookmarkStart w:id="87" w:name="_Toc15711"/>
      <w:bookmarkStart w:id="88" w:name="_Toc403569796"/>
      <w:bookmarkStart w:id="89" w:name="_Toc303945820"/>
      <w:bookmarkStart w:id="90"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4"/>
      <w:bookmarkEnd w:id="85"/>
      <w:bookmarkEnd w:id="86"/>
      <w:bookmarkEnd w:id="87"/>
      <w:bookmarkEnd w:id="88"/>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54718202"/>
      <w:bookmarkStart w:id="92"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91"/>
      <w:bookmarkEnd w:id="92"/>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3"/>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4"/>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5"/>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6"/>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7"/>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17879"/>
      <w:bookmarkStart w:id="99"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8"/>
      <w:bookmarkEnd w:id="99"/>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0"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100"/>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8853"/>
      <w:bookmarkStart w:id="102"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101"/>
      <w:bookmarkEnd w:id="102"/>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25177"/>
      <w:bookmarkStart w:id="104"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3"/>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5"/>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4"/>
      <w:bookmarkEnd w:id="106"/>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7"/>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8"/>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9"/>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54718206"/>
      <w:bookmarkStart w:id="111"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10"/>
      <w:bookmarkEnd w:id="111"/>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2" w:name="_Toc12985"/>
      <w:bookmarkStart w:id="113"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2"/>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3"/>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9053"/>
      <w:bookmarkStart w:id="115"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4"/>
      <w:bookmarkEnd w:id="115"/>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6"/>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7"/>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8"/>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11586"/>
      <w:bookmarkStart w:id="120"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9"/>
      <w:bookmarkEnd w:id="120"/>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21"/>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2"/>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3" w:name="_Toc31719"/>
      <w:bookmarkStart w:id="124" w:name="_Toc54718210"/>
      <w:bookmarkStart w:id="125" w:name="_Toc26580"/>
      <w:bookmarkStart w:id="126"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3"/>
      <w:bookmarkEnd w:id="124"/>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7"/>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8"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8"/>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5"/>
      <w:bookmarkEnd w:id="126"/>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9"/>
      <w:bookmarkEnd w:id="130"/>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31"/>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2"/>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3"/>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4"/>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5"/>
    </w:p>
    <w:bookmarkEnd w:id="89"/>
    <w:bookmarkEnd w:id="90"/>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6" w:name="_Hlt41879464"/>
      <w:bookmarkEnd w:id="136"/>
      <w:bookmarkStart w:id="137" w:name="_Toc29521"/>
      <w:bookmarkStart w:id="138" w:name="_Toc12789072"/>
      <w:bookmarkStart w:id="139" w:name="_Toc13696"/>
      <w:bookmarkStart w:id="140" w:name="_Toc485108795"/>
      <w:bookmarkStart w:id="141" w:name="_Toc14085"/>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7"/>
      <w:bookmarkEnd w:id="138"/>
      <w:bookmarkEnd w:id="139"/>
      <w:bookmarkEnd w:id="140"/>
      <w:bookmarkEnd w:id="141"/>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2"/>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3"/>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4"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4"/>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5" w:name="_Toc38358147"/>
      <w:bookmarkStart w:id="146" w:name="OLE_LINK11"/>
      <w:bookmarkStart w:id="147"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5"/>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8"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8"/>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9" w:name="_Toc5685"/>
      <w:bookmarkStart w:id="150" w:name="_Toc19884"/>
      <w:bookmarkStart w:id="151"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9"/>
      <w:bookmarkEnd w:id="150"/>
      <w:bookmarkEnd w:id="151"/>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2"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2"/>
    </w:p>
    <w:bookmarkEnd w:id="146"/>
    <w:bookmarkEnd w:id="147"/>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3" w:name="_Toc313008356"/>
      <w:bookmarkStart w:id="154" w:name="_Toc342913419"/>
      <w:bookmarkStart w:id="155" w:name="_Toc5565"/>
      <w:bookmarkStart w:id="156" w:name="_Toc485108796"/>
      <w:bookmarkStart w:id="157" w:name="_Toc480979018"/>
      <w:bookmarkStart w:id="158" w:name="_Toc313888360"/>
      <w:bookmarkStart w:id="159" w:name="_Toc283382454"/>
      <w:bookmarkStart w:id="160"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3"/>
      <w:bookmarkEnd w:id="154"/>
      <w:bookmarkEnd w:id="155"/>
      <w:bookmarkEnd w:id="156"/>
      <w:bookmarkEnd w:id="157"/>
      <w:bookmarkEnd w:id="158"/>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9"/>
    <w:bookmarkEnd w:id="160"/>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0E117D4">
      <w:pPr>
        <w:pStyle w:val="52"/>
        <w:spacing w:before="0" w:beforeAutospacing="0" w:after="0" w:afterAutospacing="0" w:line="480" w:lineRule="exact"/>
        <w:jc w:val="center"/>
        <w:rPr>
          <w:rFonts w:ascii="仿宋" w:hAnsi="仿宋" w:eastAsia="仿宋" w:cs="仿宋"/>
          <w:kern w:val="2"/>
          <w:sz w:val="28"/>
          <w:szCs w:val="28"/>
        </w:rPr>
      </w:pPr>
      <w:bookmarkStart w:id="161" w:name="_Toc342913420"/>
      <w:bookmarkStart w:id="162" w:name="_Toc485108797"/>
      <w:bookmarkStart w:id="163" w:name="_Toc480979019"/>
      <w:bookmarkStart w:id="164" w:name="_Toc313008357"/>
      <w:bookmarkStart w:id="165" w:name="_Toc313888361"/>
      <w:r>
        <w:rPr>
          <w:rFonts w:hint="eastAsia" w:ascii="仿宋" w:hAnsi="仿宋" w:eastAsia="仿宋" w:cs="仿宋"/>
          <w:kern w:val="2"/>
          <w:sz w:val="28"/>
          <w:szCs w:val="28"/>
        </w:rPr>
        <w:t>报 价 表</w:t>
      </w:r>
    </w:p>
    <w:p w14:paraId="756C077F">
      <w:pPr>
        <w:pStyle w:val="52"/>
        <w:spacing w:before="0" w:beforeAutospacing="0" w:after="0" w:afterAutospacing="0" w:line="480" w:lineRule="exact"/>
        <w:jc w:val="center"/>
        <w:rPr>
          <w:rFonts w:ascii="仿宋" w:hAnsi="仿宋" w:eastAsia="仿宋" w:cs="仿宋"/>
          <w:kern w:val="2"/>
          <w:sz w:val="28"/>
          <w:szCs w:val="28"/>
        </w:rPr>
      </w:pPr>
    </w:p>
    <w:tbl>
      <w:tblPr>
        <w:tblStyle w:val="59"/>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4"/>
        <w:gridCol w:w="870"/>
        <w:gridCol w:w="870"/>
        <w:gridCol w:w="870"/>
        <w:gridCol w:w="870"/>
        <w:gridCol w:w="958"/>
        <w:gridCol w:w="968"/>
        <w:gridCol w:w="870"/>
        <w:gridCol w:w="1052"/>
        <w:gridCol w:w="1056"/>
      </w:tblGrid>
      <w:tr w14:paraId="527BC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642" w:type="pct"/>
            <w:vAlign w:val="center"/>
          </w:tcPr>
          <w:p w14:paraId="3FCDDF7B">
            <w:pPr>
              <w:pStyle w:val="30"/>
              <w:tabs>
                <w:tab w:val="right" w:leader="hyphen" w:pos="8080"/>
              </w:tabs>
              <w:spacing w:line="360" w:lineRule="auto"/>
              <w:ind w:left="0" w:leftChars="0" w:firstLine="0" w:firstLineChars="0"/>
              <w:jc w:val="center"/>
              <w:outlineLvl w:val="0"/>
              <w:rPr>
                <w:rFonts w:hint="eastAsia" w:ascii="宋体" w:hAnsi="宋体" w:eastAsia="宋体" w:cs="宋体"/>
                <w:kern w:val="2"/>
                <w:sz w:val="21"/>
                <w:szCs w:val="21"/>
              </w:rPr>
            </w:pPr>
            <w:r>
              <w:rPr>
                <w:rFonts w:hint="eastAsia" w:ascii="宋体" w:hAnsi="宋体" w:eastAsia="宋体" w:cs="宋体"/>
                <w:kern w:val="2"/>
                <w:sz w:val="21"/>
                <w:szCs w:val="21"/>
              </w:rPr>
              <w:t>名称</w:t>
            </w:r>
          </w:p>
        </w:tc>
        <w:tc>
          <w:tcPr>
            <w:tcW w:w="452" w:type="pct"/>
            <w:vAlign w:val="center"/>
          </w:tcPr>
          <w:p w14:paraId="78C3CD90">
            <w:pPr>
              <w:pStyle w:val="30"/>
              <w:tabs>
                <w:tab w:val="right" w:leader="hyphen" w:pos="8080"/>
              </w:tabs>
              <w:spacing w:line="360" w:lineRule="auto"/>
              <w:ind w:left="0" w:leftChars="0" w:firstLine="0" w:firstLineChars="0"/>
              <w:jc w:val="center"/>
              <w:outlineLvl w:val="0"/>
              <w:rPr>
                <w:rFonts w:hint="eastAsia" w:ascii="宋体" w:hAnsi="宋体" w:eastAsia="宋体" w:cs="宋体"/>
                <w:kern w:val="2"/>
                <w:sz w:val="21"/>
                <w:szCs w:val="21"/>
              </w:rPr>
            </w:pPr>
            <w:r>
              <w:rPr>
                <w:rFonts w:hint="eastAsia" w:ascii="宋体" w:hAnsi="宋体" w:eastAsia="宋体" w:cs="宋体"/>
                <w:kern w:val="2"/>
                <w:sz w:val="21"/>
                <w:szCs w:val="21"/>
              </w:rPr>
              <w:t>品牌</w:t>
            </w:r>
          </w:p>
        </w:tc>
        <w:tc>
          <w:tcPr>
            <w:tcW w:w="452" w:type="pct"/>
            <w:vAlign w:val="center"/>
          </w:tcPr>
          <w:p w14:paraId="07F13E9D">
            <w:pPr>
              <w:pStyle w:val="30"/>
              <w:tabs>
                <w:tab w:val="right" w:leader="hyphen" w:pos="8080"/>
              </w:tabs>
              <w:spacing w:line="360" w:lineRule="auto"/>
              <w:ind w:left="0" w:leftChars="0" w:firstLine="0" w:firstLineChars="0"/>
              <w:jc w:val="center"/>
              <w:outlineLvl w:val="0"/>
              <w:rPr>
                <w:rFonts w:hint="eastAsia" w:ascii="宋体" w:hAnsi="宋体" w:eastAsia="宋体" w:cs="宋体"/>
                <w:kern w:val="2"/>
                <w:sz w:val="21"/>
                <w:szCs w:val="21"/>
              </w:rPr>
            </w:pPr>
            <w:r>
              <w:rPr>
                <w:rFonts w:hint="eastAsia" w:ascii="宋体" w:hAnsi="宋体" w:eastAsia="宋体" w:cs="宋体"/>
                <w:kern w:val="2"/>
                <w:sz w:val="21"/>
                <w:szCs w:val="21"/>
              </w:rPr>
              <w:t>生产</w:t>
            </w:r>
          </w:p>
          <w:p w14:paraId="2BFF2812">
            <w:pPr>
              <w:pStyle w:val="30"/>
              <w:tabs>
                <w:tab w:val="right" w:leader="hyphen" w:pos="8080"/>
              </w:tabs>
              <w:spacing w:line="360" w:lineRule="auto"/>
              <w:ind w:left="0" w:leftChars="0" w:firstLine="0" w:firstLineChars="0"/>
              <w:jc w:val="center"/>
              <w:outlineLvl w:val="0"/>
              <w:rPr>
                <w:rFonts w:hint="eastAsia" w:ascii="宋体" w:hAnsi="宋体" w:eastAsia="宋体" w:cs="宋体"/>
                <w:kern w:val="2"/>
                <w:sz w:val="21"/>
                <w:szCs w:val="21"/>
              </w:rPr>
            </w:pPr>
            <w:r>
              <w:rPr>
                <w:rFonts w:hint="eastAsia" w:ascii="宋体" w:hAnsi="宋体" w:eastAsia="宋体" w:cs="宋体"/>
                <w:kern w:val="2"/>
                <w:sz w:val="21"/>
                <w:szCs w:val="21"/>
              </w:rPr>
              <w:t>厂家</w:t>
            </w:r>
          </w:p>
        </w:tc>
        <w:tc>
          <w:tcPr>
            <w:tcW w:w="452" w:type="pct"/>
            <w:vAlign w:val="center"/>
          </w:tcPr>
          <w:p w14:paraId="18E8FCF5">
            <w:pPr>
              <w:pStyle w:val="30"/>
              <w:tabs>
                <w:tab w:val="right" w:leader="hyphen" w:pos="8080"/>
              </w:tabs>
              <w:spacing w:line="360" w:lineRule="auto"/>
              <w:ind w:left="0" w:leftChars="0" w:firstLine="0" w:firstLineChars="0"/>
              <w:jc w:val="center"/>
              <w:outlineLvl w:val="0"/>
              <w:rPr>
                <w:rFonts w:hint="eastAsia" w:ascii="宋体" w:hAnsi="宋体" w:eastAsia="宋体" w:cs="宋体"/>
                <w:kern w:val="2"/>
                <w:sz w:val="21"/>
                <w:szCs w:val="21"/>
              </w:rPr>
            </w:pPr>
            <w:r>
              <w:rPr>
                <w:rFonts w:hint="eastAsia" w:ascii="宋体" w:hAnsi="宋体" w:eastAsia="宋体" w:cs="宋体"/>
                <w:kern w:val="2"/>
                <w:sz w:val="21"/>
                <w:szCs w:val="21"/>
              </w:rPr>
              <w:t>数量</w:t>
            </w:r>
          </w:p>
        </w:tc>
        <w:tc>
          <w:tcPr>
            <w:tcW w:w="452" w:type="pct"/>
            <w:vAlign w:val="center"/>
          </w:tcPr>
          <w:p w14:paraId="3E828289">
            <w:pPr>
              <w:pStyle w:val="30"/>
              <w:tabs>
                <w:tab w:val="right" w:leader="hyphen" w:pos="8080"/>
              </w:tabs>
              <w:spacing w:line="360" w:lineRule="auto"/>
              <w:ind w:left="0" w:leftChars="0" w:firstLine="0" w:firstLineChars="0"/>
              <w:jc w:val="center"/>
              <w:outlineLvl w:val="0"/>
              <w:rPr>
                <w:rFonts w:hint="eastAsia" w:ascii="宋体" w:hAnsi="宋体" w:eastAsia="宋体" w:cs="宋体"/>
                <w:kern w:val="2"/>
                <w:sz w:val="21"/>
                <w:szCs w:val="21"/>
              </w:rPr>
            </w:pPr>
            <w:r>
              <w:rPr>
                <w:rFonts w:hint="eastAsia" w:ascii="宋体" w:hAnsi="宋体" w:eastAsia="宋体" w:cs="宋体"/>
                <w:kern w:val="2"/>
                <w:sz w:val="21"/>
                <w:szCs w:val="21"/>
              </w:rPr>
              <w:t>单位</w:t>
            </w:r>
          </w:p>
        </w:tc>
        <w:tc>
          <w:tcPr>
            <w:tcW w:w="498" w:type="pct"/>
            <w:vAlign w:val="center"/>
          </w:tcPr>
          <w:p w14:paraId="65009701">
            <w:pPr>
              <w:pStyle w:val="30"/>
              <w:tabs>
                <w:tab w:val="right" w:leader="hyphen" w:pos="8080"/>
              </w:tabs>
              <w:spacing w:line="240" w:lineRule="auto"/>
              <w:ind w:left="0" w:leftChars="0" w:firstLine="0" w:firstLineChars="0"/>
              <w:jc w:val="center"/>
              <w:outlineLvl w:val="0"/>
              <w:rPr>
                <w:rFonts w:hint="eastAsia" w:ascii="宋体" w:hAnsi="宋体" w:eastAsia="宋体" w:cs="宋体"/>
                <w:kern w:val="2"/>
                <w:sz w:val="21"/>
                <w:szCs w:val="21"/>
              </w:rPr>
            </w:pPr>
            <w:r>
              <w:rPr>
                <w:rFonts w:hint="eastAsia" w:ascii="宋体" w:hAnsi="宋体" w:eastAsia="宋体" w:cs="宋体"/>
                <w:kern w:val="2"/>
                <w:sz w:val="21"/>
                <w:szCs w:val="21"/>
              </w:rPr>
              <w:t>单价(元/月)</w:t>
            </w:r>
          </w:p>
        </w:tc>
        <w:tc>
          <w:tcPr>
            <w:tcW w:w="503" w:type="pct"/>
            <w:vAlign w:val="center"/>
          </w:tcPr>
          <w:p w14:paraId="5EA73320">
            <w:pPr>
              <w:pStyle w:val="30"/>
              <w:tabs>
                <w:tab w:val="right" w:leader="hyphen" w:pos="8080"/>
              </w:tabs>
              <w:spacing w:line="240" w:lineRule="auto"/>
              <w:ind w:left="0" w:leftChars="0" w:firstLine="0" w:firstLineChars="0"/>
              <w:jc w:val="center"/>
              <w:outlineLvl w:val="0"/>
              <w:rPr>
                <w:rFonts w:hint="eastAsia" w:ascii="宋体" w:hAnsi="宋体" w:eastAsia="宋体" w:cs="宋体"/>
                <w:kern w:val="2"/>
                <w:sz w:val="21"/>
                <w:szCs w:val="21"/>
              </w:rPr>
            </w:pPr>
            <w:r>
              <w:rPr>
                <w:rFonts w:hint="eastAsia" w:ascii="宋体" w:hAnsi="宋体" w:eastAsia="宋体" w:cs="宋体"/>
                <w:kern w:val="2"/>
                <w:sz w:val="21"/>
                <w:szCs w:val="21"/>
                <w:lang w:eastAsia="zh-CN"/>
              </w:rPr>
              <w:t>两年</w:t>
            </w:r>
            <w:r>
              <w:rPr>
                <w:rFonts w:hint="eastAsia" w:ascii="宋体" w:hAnsi="宋体" w:eastAsia="宋体" w:cs="宋体"/>
                <w:kern w:val="2"/>
                <w:sz w:val="21"/>
                <w:szCs w:val="21"/>
              </w:rPr>
              <w:t>总价</w:t>
            </w:r>
          </w:p>
          <w:p w14:paraId="1253E60F">
            <w:pPr>
              <w:pStyle w:val="30"/>
              <w:tabs>
                <w:tab w:val="right" w:leader="hyphen" w:pos="8080"/>
              </w:tabs>
              <w:spacing w:line="240" w:lineRule="auto"/>
              <w:ind w:left="0" w:leftChars="0" w:firstLine="0" w:firstLineChars="0"/>
              <w:jc w:val="center"/>
              <w:outlineLvl w:val="0"/>
              <w:rPr>
                <w:rFonts w:hint="eastAsia" w:ascii="宋体" w:hAnsi="宋体" w:eastAsia="宋体" w:cs="宋体"/>
                <w:kern w:val="2"/>
                <w:sz w:val="21"/>
                <w:szCs w:val="21"/>
              </w:rPr>
            </w:pPr>
            <w:r>
              <w:rPr>
                <w:rFonts w:hint="eastAsia" w:ascii="宋体" w:hAnsi="宋体" w:eastAsia="宋体" w:cs="宋体"/>
                <w:kern w:val="2"/>
                <w:sz w:val="21"/>
                <w:szCs w:val="21"/>
              </w:rPr>
              <w:t>(元)</w:t>
            </w:r>
          </w:p>
        </w:tc>
        <w:tc>
          <w:tcPr>
            <w:tcW w:w="452" w:type="pct"/>
          </w:tcPr>
          <w:p w14:paraId="61EE2D4F">
            <w:pPr>
              <w:pStyle w:val="30"/>
              <w:tabs>
                <w:tab w:val="right" w:leader="hyphen" w:pos="8080"/>
              </w:tabs>
              <w:spacing w:line="240" w:lineRule="auto"/>
              <w:ind w:left="0" w:leftChars="0" w:firstLine="0" w:firstLineChars="0"/>
              <w:jc w:val="center"/>
              <w:outlineLvl w:val="0"/>
              <w:rPr>
                <w:rFonts w:hint="eastAsia" w:ascii="宋体" w:hAnsi="宋体" w:eastAsia="宋体" w:cs="宋体"/>
                <w:kern w:val="2"/>
                <w:sz w:val="21"/>
                <w:szCs w:val="21"/>
              </w:rPr>
            </w:pPr>
            <w:r>
              <w:rPr>
                <w:rFonts w:hint="eastAsia" w:ascii="宋体" w:hAnsi="宋体" w:eastAsia="宋体" w:cs="宋体"/>
                <w:kern w:val="2"/>
                <w:sz w:val="21"/>
                <w:szCs w:val="21"/>
              </w:rPr>
              <w:t>每天每个账号免费取袋数量</w:t>
            </w:r>
          </w:p>
        </w:tc>
        <w:tc>
          <w:tcPr>
            <w:tcW w:w="547" w:type="pct"/>
            <w:vAlign w:val="center"/>
          </w:tcPr>
          <w:p w14:paraId="11A4C8B6">
            <w:pPr>
              <w:pStyle w:val="30"/>
              <w:tabs>
                <w:tab w:val="right" w:leader="hyphen" w:pos="8080"/>
              </w:tabs>
              <w:spacing w:line="240" w:lineRule="auto"/>
              <w:ind w:left="0" w:leftChars="0" w:firstLine="0" w:firstLineChars="0"/>
              <w:jc w:val="center"/>
              <w:outlineLvl w:val="0"/>
              <w:rPr>
                <w:rFonts w:hint="eastAsia" w:ascii="宋体" w:hAnsi="宋体" w:eastAsia="宋体" w:cs="宋体"/>
                <w:sz w:val="21"/>
                <w:szCs w:val="21"/>
              </w:rPr>
            </w:pPr>
            <w:r>
              <w:rPr>
                <w:rFonts w:hint="eastAsia" w:ascii="宋体" w:hAnsi="宋体" w:eastAsia="宋体" w:cs="宋体"/>
                <w:kern w:val="2"/>
                <w:sz w:val="21"/>
                <w:szCs w:val="21"/>
              </w:rPr>
              <w:t>后续购买价格（元/个）</w:t>
            </w:r>
          </w:p>
        </w:tc>
        <w:tc>
          <w:tcPr>
            <w:tcW w:w="547" w:type="pct"/>
            <w:vAlign w:val="center"/>
          </w:tcPr>
          <w:p w14:paraId="4EC9CFC6">
            <w:pPr>
              <w:pStyle w:val="30"/>
              <w:tabs>
                <w:tab w:val="right" w:leader="hyphen" w:pos="8080"/>
              </w:tabs>
              <w:spacing w:line="240" w:lineRule="auto"/>
              <w:ind w:left="0" w:leftChars="0" w:firstLine="0" w:firstLineChars="0"/>
              <w:jc w:val="center"/>
              <w:outlineLvl w:val="0"/>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备注</w:t>
            </w:r>
          </w:p>
        </w:tc>
      </w:tr>
      <w:tr w14:paraId="6EAA2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642" w:type="pct"/>
            <w:vAlign w:val="center"/>
          </w:tcPr>
          <w:p w14:paraId="5E5BC088">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自助取袋机（西药袋）</w:t>
            </w:r>
          </w:p>
        </w:tc>
        <w:tc>
          <w:tcPr>
            <w:tcW w:w="452" w:type="pct"/>
            <w:vAlign w:val="center"/>
          </w:tcPr>
          <w:p w14:paraId="56F24468">
            <w:pPr>
              <w:spacing w:line="400" w:lineRule="exact"/>
              <w:jc w:val="center"/>
              <w:rPr>
                <w:rFonts w:hint="eastAsia" w:ascii="宋体" w:hAnsi="宋体" w:eastAsia="宋体" w:cs="宋体"/>
                <w:sz w:val="21"/>
                <w:szCs w:val="21"/>
              </w:rPr>
            </w:pPr>
          </w:p>
        </w:tc>
        <w:tc>
          <w:tcPr>
            <w:tcW w:w="452" w:type="pct"/>
            <w:vAlign w:val="center"/>
          </w:tcPr>
          <w:p w14:paraId="4B952DB3">
            <w:pPr>
              <w:spacing w:line="400" w:lineRule="exact"/>
              <w:jc w:val="center"/>
              <w:rPr>
                <w:rFonts w:hint="eastAsia" w:ascii="宋体" w:hAnsi="宋体" w:eastAsia="宋体" w:cs="宋体"/>
                <w:sz w:val="21"/>
                <w:szCs w:val="21"/>
              </w:rPr>
            </w:pPr>
          </w:p>
        </w:tc>
        <w:tc>
          <w:tcPr>
            <w:tcW w:w="452" w:type="pct"/>
            <w:vAlign w:val="center"/>
          </w:tcPr>
          <w:p w14:paraId="669B6F79">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4</w:t>
            </w:r>
          </w:p>
        </w:tc>
        <w:tc>
          <w:tcPr>
            <w:tcW w:w="452" w:type="pct"/>
            <w:vAlign w:val="center"/>
          </w:tcPr>
          <w:p w14:paraId="0996944F">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台</w:t>
            </w:r>
          </w:p>
        </w:tc>
        <w:tc>
          <w:tcPr>
            <w:tcW w:w="498" w:type="pct"/>
            <w:vAlign w:val="center"/>
          </w:tcPr>
          <w:p w14:paraId="0F6112EE">
            <w:pPr>
              <w:spacing w:line="400" w:lineRule="exact"/>
              <w:jc w:val="center"/>
              <w:rPr>
                <w:rFonts w:hint="eastAsia" w:ascii="宋体" w:hAnsi="宋体" w:eastAsia="宋体" w:cs="宋体"/>
                <w:sz w:val="21"/>
                <w:szCs w:val="21"/>
              </w:rPr>
            </w:pPr>
          </w:p>
        </w:tc>
        <w:tc>
          <w:tcPr>
            <w:tcW w:w="503" w:type="pct"/>
            <w:vAlign w:val="center"/>
          </w:tcPr>
          <w:p w14:paraId="28EF68C4">
            <w:pPr>
              <w:spacing w:line="300" w:lineRule="exact"/>
              <w:jc w:val="center"/>
              <w:rPr>
                <w:rFonts w:hint="eastAsia" w:ascii="宋体" w:hAnsi="宋体" w:eastAsia="宋体" w:cs="宋体"/>
                <w:sz w:val="21"/>
                <w:szCs w:val="21"/>
              </w:rPr>
            </w:pPr>
          </w:p>
        </w:tc>
        <w:tc>
          <w:tcPr>
            <w:tcW w:w="452" w:type="pct"/>
            <w:vAlign w:val="center"/>
          </w:tcPr>
          <w:p w14:paraId="0CD6ED02">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547" w:type="pct"/>
            <w:vAlign w:val="center"/>
          </w:tcPr>
          <w:p w14:paraId="62BA6745">
            <w:pPr>
              <w:spacing w:line="300" w:lineRule="exact"/>
              <w:jc w:val="center"/>
              <w:rPr>
                <w:rFonts w:hint="eastAsia" w:ascii="宋体" w:hAnsi="宋体" w:eastAsia="宋体" w:cs="宋体"/>
                <w:sz w:val="21"/>
                <w:szCs w:val="21"/>
              </w:rPr>
            </w:pPr>
          </w:p>
        </w:tc>
        <w:tc>
          <w:tcPr>
            <w:tcW w:w="547" w:type="pct"/>
            <w:vAlign w:val="center"/>
          </w:tcPr>
          <w:p w14:paraId="6CA3812A">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不超过0.4元/个</w:t>
            </w:r>
          </w:p>
        </w:tc>
      </w:tr>
      <w:tr w14:paraId="1D3AA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642" w:type="pct"/>
            <w:vAlign w:val="center"/>
          </w:tcPr>
          <w:p w14:paraId="7A014DA8">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自助取袋机（中药袋）</w:t>
            </w:r>
          </w:p>
        </w:tc>
        <w:tc>
          <w:tcPr>
            <w:tcW w:w="452" w:type="pct"/>
            <w:vAlign w:val="center"/>
          </w:tcPr>
          <w:p w14:paraId="7D6893CA">
            <w:pPr>
              <w:spacing w:line="400" w:lineRule="exact"/>
              <w:jc w:val="center"/>
              <w:rPr>
                <w:rFonts w:hint="eastAsia" w:ascii="宋体" w:hAnsi="宋体" w:eastAsia="宋体" w:cs="宋体"/>
                <w:sz w:val="21"/>
                <w:szCs w:val="21"/>
              </w:rPr>
            </w:pPr>
          </w:p>
        </w:tc>
        <w:tc>
          <w:tcPr>
            <w:tcW w:w="452" w:type="pct"/>
            <w:vAlign w:val="center"/>
          </w:tcPr>
          <w:p w14:paraId="5FDBAAC3">
            <w:pPr>
              <w:spacing w:line="400" w:lineRule="exact"/>
              <w:jc w:val="center"/>
              <w:rPr>
                <w:rFonts w:hint="eastAsia" w:ascii="宋体" w:hAnsi="宋体" w:eastAsia="宋体" w:cs="宋体"/>
                <w:sz w:val="21"/>
                <w:szCs w:val="21"/>
              </w:rPr>
            </w:pPr>
          </w:p>
        </w:tc>
        <w:tc>
          <w:tcPr>
            <w:tcW w:w="452" w:type="pct"/>
            <w:vAlign w:val="center"/>
          </w:tcPr>
          <w:p w14:paraId="7CE5F760">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452" w:type="pct"/>
            <w:vAlign w:val="center"/>
          </w:tcPr>
          <w:p w14:paraId="5F1670F2">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台</w:t>
            </w:r>
          </w:p>
        </w:tc>
        <w:tc>
          <w:tcPr>
            <w:tcW w:w="498" w:type="pct"/>
            <w:vAlign w:val="center"/>
          </w:tcPr>
          <w:p w14:paraId="213C15B0">
            <w:pPr>
              <w:spacing w:line="400" w:lineRule="exact"/>
              <w:jc w:val="center"/>
              <w:rPr>
                <w:rFonts w:hint="eastAsia" w:ascii="宋体" w:hAnsi="宋体" w:eastAsia="宋体" w:cs="宋体"/>
                <w:sz w:val="21"/>
                <w:szCs w:val="21"/>
              </w:rPr>
            </w:pPr>
          </w:p>
        </w:tc>
        <w:tc>
          <w:tcPr>
            <w:tcW w:w="503" w:type="pct"/>
            <w:vAlign w:val="center"/>
          </w:tcPr>
          <w:p w14:paraId="3A22D432">
            <w:pPr>
              <w:spacing w:line="300" w:lineRule="exact"/>
              <w:jc w:val="center"/>
              <w:rPr>
                <w:rFonts w:hint="eastAsia" w:ascii="宋体" w:hAnsi="宋体" w:eastAsia="宋体" w:cs="宋体"/>
                <w:sz w:val="21"/>
                <w:szCs w:val="21"/>
              </w:rPr>
            </w:pPr>
          </w:p>
        </w:tc>
        <w:tc>
          <w:tcPr>
            <w:tcW w:w="452" w:type="pct"/>
            <w:vAlign w:val="center"/>
          </w:tcPr>
          <w:p w14:paraId="315A1286">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547" w:type="pct"/>
            <w:vAlign w:val="center"/>
          </w:tcPr>
          <w:p w14:paraId="271230B1">
            <w:pPr>
              <w:spacing w:line="300" w:lineRule="exact"/>
              <w:jc w:val="center"/>
              <w:rPr>
                <w:rFonts w:hint="eastAsia" w:ascii="宋体" w:hAnsi="宋体" w:eastAsia="宋体" w:cs="宋体"/>
                <w:sz w:val="21"/>
                <w:szCs w:val="21"/>
              </w:rPr>
            </w:pPr>
          </w:p>
        </w:tc>
        <w:tc>
          <w:tcPr>
            <w:tcW w:w="547" w:type="pct"/>
            <w:vAlign w:val="center"/>
          </w:tcPr>
          <w:p w14:paraId="11913FDF">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不超过0.6元/个</w:t>
            </w:r>
          </w:p>
        </w:tc>
      </w:tr>
      <w:tr w14:paraId="4A30E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642" w:type="pct"/>
            <w:vAlign w:val="center"/>
          </w:tcPr>
          <w:p w14:paraId="245E1807">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自助取袋机</w:t>
            </w:r>
          </w:p>
          <w:p w14:paraId="699316AF">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（影像资料袋）</w:t>
            </w:r>
          </w:p>
        </w:tc>
        <w:tc>
          <w:tcPr>
            <w:tcW w:w="452" w:type="pct"/>
            <w:vAlign w:val="center"/>
          </w:tcPr>
          <w:p w14:paraId="355A2A5D">
            <w:pPr>
              <w:spacing w:line="400" w:lineRule="exact"/>
              <w:jc w:val="center"/>
              <w:rPr>
                <w:rFonts w:hint="eastAsia" w:ascii="宋体" w:hAnsi="宋体" w:eastAsia="宋体" w:cs="宋体"/>
                <w:sz w:val="21"/>
                <w:szCs w:val="21"/>
              </w:rPr>
            </w:pPr>
          </w:p>
        </w:tc>
        <w:tc>
          <w:tcPr>
            <w:tcW w:w="452" w:type="pct"/>
            <w:vAlign w:val="center"/>
          </w:tcPr>
          <w:p w14:paraId="477F9128">
            <w:pPr>
              <w:spacing w:line="400" w:lineRule="exact"/>
              <w:jc w:val="center"/>
              <w:rPr>
                <w:rFonts w:hint="eastAsia" w:ascii="宋体" w:hAnsi="宋体" w:eastAsia="宋体" w:cs="宋体"/>
                <w:sz w:val="21"/>
                <w:szCs w:val="21"/>
              </w:rPr>
            </w:pPr>
          </w:p>
        </w:tc>
        <w:tc>
          <w:tcPr>
            <w:tcW w:w="452" w:type="pct"/>
            <w:vAlign w:val="center"/>
          </w:tcPr>
          <w:p w14:paraId="7BC074F3">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452" w:type="pct"/>
            <w:vAlign w:val="center"/>
          </w:tcPr>
          <w:p w14:paraId="0635C511">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台</w:t>
            </w:r>
          </w:p>
        </w:tc>
        <w:tc>
          <w:tcPr>
            <w:tcW w:w="498" w:type="pct"/>
            <w:vAlign w:val="center"/>
          </w:tcPr>
          <w:p w14:paraId="77F94071">
            <w:pPr>
              <w:spacing w:line="400" w:lineRule="exact"/>
              <w:jc w:val="center"/>
              <w:rPr>
                <w:rFonts w:hint="eastAsia" w:ascii="宋体" w:hAnsi="宋体" w:eastAsia="宋体" w:cs="宋体"/>
                <w:sz w:val="21"/>
                <w:szCs w:val="21"/>
              </w:rPr>
            </w:pPr>
          </w:p>
        </w:tc>
        <w:tc>
          <w:tcPr>
            <w:tcW w:w="503" w:type="pct"/>
            <w:vAlign w:val="center"/>
          </w:tcPr>
          <w:p w14:paraId="7EECF545">
            <w:pPr>
              <w:spacing w:line="300" w:lineRule="exact"/>
              <w:jc w:val="center"/>
              <w:rPr>
                <w:rFonts w:hint="eastAsia" w:ascii="宋体" w:hAnsi="宋体" w:eastAsia="宋体" w:cs="宋体"/>
                <w:sz w:val="21"/>
                <w:szCs w:val="21"/>
              </w:rPr>
            </w:pPr>
          </w:p>
        </w:tc>
        <w:tc>
          <w:tcPr>
            <w:tcW w:w="452" w:type="pct"/>
            <w:vAlign w:val="center"/>
          </w:tcPr>
          <w:p w14:paraId="27BCBBDA">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547" w:type="pct"/>
            <w:vAlign w:val="center"/>
          </w:tcPr>
          <w:p w14:paraId="1503CFEC">
            <w:pPr>
              <w:spacing w:line="300" w:lineRule="exact"/>
              <w:jc w:val="center"/>
              <w:rPr>
                <w:rFonts w:hint="eastAsia" w:ascii="宋体" w:hAnsi="宋体" w:eastAsia="宋体" w:cs="宋体"/>
                <w:sz w:val="21"/>
                <w:szCs w:val="21"/>
              </w:rPr>
            </w:pPr>
          </w:p>
        </w:tc>
        <w:tc>
          <w:tcPr>
            <w:tcW w:w="547" w:type="pct"/>
            <w:vAlign w:val="center"/>
          </w:tcPr>
          <w:p w14:paraId="31BE19A5">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不超过1元/个</w:t>
            </w:r>
          </w:p>
        </w:tc>
      </w:tr>
      <w:tr w14:paraId="2A7CA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642" w:type="pct"/>
            <w:vAlign w:val="center"/>
          </w:tcPr>
          <w:p w14:paraId="113FD32A">
            <w:pPr>
              <w:pStyle w:val="30"/>
              <w:tabs>
                <w:tab w:val="right" w:leader="hyphen" w:pos="8080"/>
              </w:tabs>
              <w:spacing w:line="360" w:lineRule="auto"/>
              <w:ind w:left="0" w:leftChars="0" w:firstLine="0" w:firstLineChars="0"/>
              <w:jc w:val="both"/>
              <w:outlineLvl w:val="0"/>
              <w:rPr>
                <w:rFonts w:hint="eastAsia" w:ascii="宋体" w:hAnsi="宋体" w:eastAsia="宋体" w:cs="宋体"/>
                <w:kern w:val="2"/>
                <w:sz w:val="21"/>
                <w:szCs w:val="21"/>
              </w:rPr>
            </w:pPr>
            <w:r>
              <w:rPr>
                <w:rFonts w:hint="eastAsia" w:ascii="宋体" w:hAnsi="宋体" w:eastAsia="宋体" w:cs="宋体"/>
                <w:kern w:val="2"/>
                <w:sz w:val="21"/>
                <w:szCs w:val="21"/>
              </w:rPr>
              <w:t>2年合计（元）</w:t>
            </w:r>
          </w:p>
        </w:tc>
        <w:tc>
          <w:tcPr>
            <w:tcW w:w="4357" w:type="pct"/>
            <w:gridSpan w:val="9"/>
            <w:vAlign w:val="center"/>
          </w:tcPr>
          <w:p w14:paraId="5E1CF049">
            <w:pPr>
              <w:pStyle w:val="30"/>
              <w:tabs>
                <w:tab w:val="right" w:leader="hyphen" w:pos="8080"/>
              </w:tabs>
              <w:spacing w:line="360" w:lineRule="auto"/>
              <w:ind w:firstLine="0"/>
              <w:jc w:val="center"/>
              <w:outlineLvl w:val="0"/>
              <w:rPr>
                <w:rFonts w:hint="eastAsia" w:ascii="宋体" w:hAnsi="宋体" w:eastAsia="宋体" w:cs="宋体"/>
                <w:kern w:val="2"/>
                <w:sz w:val="21"/>
                <w:szCs w:val="21"/>
              </w:rPr>
            </w:pPr>
          </w:p>
        </w:tc>
      </w:tr>
    </w:tbl>
    <w:p w14:paraId="4CA6FF3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099607B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服务方根据设备用电功率情况向采购方缴纳电费，服务方应综合考虑各项因素，因自身原因造成自行承担责任，采购方不再补偿。</w:t>
      </w:r>
    </w:p>
    <w:p w14:paraId="321F5549">
      <w:pPr>
        <w:tabs>
          <w:tab w:val="left" w:pos="6300"/>
        </w:tabs>
        <w:snapToGrid w:val="0"/>
        <w:spacing w:line="360" w:lineRule="auto"/>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2.口袋价格需报价但不计入比选。</w:t>
      </w:r>
    </w:p>
    <w:p w14:paraId="1A058AB4">
      <w:pPr>
        <w:adjustRightInd w:val="0"/>
        <w:spacing w:line="500" w:lineRule="exact"/>
        <w:ind w:left="561" w:leftChars="67" w:hanging="420" w:hangingChars="150"/>
        <w:rPr>
          <w:rFonts w:ascii="仿宋" w:hAnsi="仿宋" w:eastAsia="仿宋"/>
          <w:bCs/>
          <w:sz w:val="28"/>
          <w:szCs w:val="28"/>
        </w:rPr>
      </w:pPr>
    </w:p>
    <w:p w14:paraId="4BF3F525">
      <w:pPr>
        <w:tabs>
          <w:tab w:val="left" w:pos="1134"/>
        </w:tabs>
        <w:jc w:val="center"/>
        <w:rPr>
          <w:rFonts w:hint="eastAsia" w:ascii="黑体" w:hAnsi="黑体" w:eastAsia="黑体"/>
          <w:sz w:val="32"/>
          <w:szCs w:val="32"/>
          <w:lang w:val="en-US" w:eastAsia="zh-CN"/>
        </w:rPr>
      </w:pPr>
    </w:p>
    <w:p w14:paraId="7667E69E">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3ADF4C3D">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0A3E3FB9">
      <w:pPr>
        <w:adjustRightInd w:val="0"/>
        <w:spacing w:line="500" w:lineRule="exact"/>
        <w:rPr>
          <w:rFonts w:hint="eastAsia" w:ascii="仿宋" w:hAnsi="仿宋" w:eastAsia="仿宋"/>
          <w:b/>
          <w:bCs/>
          <w:sz w:val="32"/>
          <w:szCs w:val="32"/>
        </w:rPr>
      </w:pPr>
    </w:p>
    <w:p w14:paraId="3BED8E65">
      <w:pPr>
        <w:spacing w:line="360" w:lineRule="auto"/>
        <w:ind w:firstLine="480" w:firstLineChars="200"/>
        <w:rPr>
          <w:rFonts w:hint="eastAsia" w:ascii="宋体" w:hAnsi="宋体" w:eastAsia="宋体" w:cs="宋体"/>
          <w:sz w:val="24"/>
          <w:szCs w:val="24"/>
          <w:lang w:val="en-US" w:eastAsia="zh-CN"/>
        </w:rPr>
      </w:pPr>
    </w:p>
    <w:p w14:paraId="22B05BAE">
      <w:pPr>
        <w:spacing w:line="360" w:lineRule="auto"/>
        <w:ind w:firstLine="480" w:firstLineChars="200"/>
        <w:rPr>
          <w:rFonts w:hint="eastAsia" w:ascii="宋体" w:hAnsi="宋体" w:eastAsia="宋体" w:cs="宋体"/>
          <w:sz w:val="24"/>
          <w:szCs w:val="24"/>
          <w:lang w:val="en-US" w:eastAsia="zh-CN"/>
        </w:rPr>
      </w:pPr>
    </w:p>
    <w:p w14:paraId="47B75036">
      <w:pPr>
        <w:spacing w:line="360" w:lineRule="auto"/>
        <w:ind w:firstLine="480" w:firstLineChars="200"/>
        <w:rPr>
          <w:rFonts w:hint="eastAsia" w:ascii="宋体" w:hAnsi="宋体" w:eastAsia="宋体" w:cs="宋体"/>
          <w:sz w:val="24"/>
          <w:szCs w:val="24"/>
          <w:lang w:val="en-US" w:eastAsia="zh-CN"/>
        </w:rPr>
      </w:pPr>
    </w:p>
    <w:p w14:paraId="5726DDEF">
      <w:pPr>
        <w:spacing w:line="360" w:lineRule="auto"/>
        <w:ind w:firstLine="480" w:firstLineChars="200"/>
        <w:rPr>
          <w:rFonts w:hint="eastAsia" w:ascii="宋体" w:hAnsi="宋体" w:eastAsia="宋体" w:cs="宋体"/>
          <w:sz w:val="24"/>
          <w:szCs w:val="24"/>
          <w:lang w:val="en-US" w:eastAsia="zh-CN"/>
        </w:rPr>
      </w:pPr>
    </w:p>
    <w:p w14:paraId="21C92970">
      <w:pPr>
        <w:spacing w:line="360" w:lineRule="auto"/>
        <w:ind w:firstLine="480" w:firstLineChars="200"/>
        <w:rPr>
          <w:rFonts w:hint="eastAsia" w:ascii="宋体" w:hAnsi="宋体" w:eastAsia="宋体" w:cs="宋体"/>
          <w:sz w:val="24"/>
          <w:szCs w:val="24"/>
          <w:lang w:val="en-US" w:eastAsia="zh-CN"/>
        </w:rPr>
      </w:pPr>
    </w:p>
    <w:p w14:paraId="5D88C29A">
      <w:pPr>
        <w:spacing w:line="360" w:lineRule="auto"/>
        <w:ind w:firstLine="480" w:firstLineChars="200"/>
        <w:rPr>
          <w:rFonts w:hint="eastAsia" w:ascii="宋体" w:hAnsi="宋体" w:eastAsia="宋体" w:cs="宋体"/>
          <w:sz w:val="24"/>
          <w:szCs w:val="24"/>
          <w:lang w:val="en-US" w:eastAsia="zh-CN"/>
        </w:rPr>
      </w:pPr>
    </w:p>
    <w:p w14:paraId="5F56EB82">
      <w:pPr>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6" w:name="_Toc9883"/>
      <w:bookmarkStart w:id="167" w:name="_Toc12908"/>
      <w:r>
        <w:rPr>
          <w:rFonts w:hint="eastAsia" w:ascii="宋体" w:hAnsi="宋体" w:eastAsia="宋体" w:cs="宋体"/>
          <w:b/>
          <w:color w:val="000000" w:themeColor="text1"/>
          <w:shd w:val="clear" w:color="auto" w:fill="auto"/>
          <w14:textFill>
            <w14:solidFill>
              <w14:schemeClr w14:val="tx1"/>
            </w14:solidFill>
          </w14:textFill>
        </w:rPr>
        <w:t>二、服务部分</w:t>
      </w:r>
      <w:bookmarkEnd w:id="161"/>
      <w:bookmarkEnd w:id="162"/>
      <w:bookmarkEnd w:id="163"/>
      <w:bookmarkEnd w:id="164"/>
      <w:bookmarkEnd w:id="165"/>
      <w:bookmarkEnd w:id="166"/>
      <w:bookmarkEnd w:id="167"/>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8" w:name="_Toc313008358"/>
      <w:bookmarkStart w:id="169" w:name="_Toc313888362"/>
      <w:bookmarkStart w:id="170" w:name="_Toc13844"/>
      <w:bookmarkStart w:id="171" w:name="_Toc485108798"/>
      <w:bookmarkStart w:id="172" w:name="_Toc342913421"/>
      <w:bookmarkStart w:id="173" w:name="_Toc480979020"/>
      <w:bookmarkStart w:id="174" w:name="_Toc15203"/>
      <w:r>
        <w:rPr>
          <w:rFonts w:hint="eastAsia" w:ascii="宋体" w:hAnsi="宋体" w:eastAsia="宋体" w:cs="宋体"/>
          <w:b/>
          <w:color w:val="000000" w:themeColor="text1"/>
          <w:shd w:val="clear" w:color="auto" w:fill="auto"/>
          <w14:textFill>
            <w14:solidFill>
              <w14:schemeClr w14:val="tx1"/>
            </w14:solidFill>
          </w14:textFill>
        </w:rPr>
        <w:t>三、商务部分</w:t>
      </w:r>
      <w:bookmarkEnd w:id="168"/>
      <w:bookmarkEnd w:id="169"/>
      <w:bookmarkEnd w:id="170"/>
      <w:bookmarkEnd w:id="171"/>
      <w:bookmarkEnd w:id="172"/>
      <w:bookmarkEnd w:id="173"/>
      <w:bookmarkEnd w:id="174"/>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5"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5"/>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10896"/>
      <w:bookmarkStart w:id="177"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6"/>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8"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8"/>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9" w:name="_Toc9941"/>
      <w:bookmarkStart w:id="180"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9"/>
      <w:bookmarkEnd w:id="180"/>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7"/>
      <w:bookmarkStart w:id="181" w:name="_Toc342913422"/>
      <w:bookmarkStart w:id="182" w:name="_Toc313008359"/>
      <w:bookmarkStart w:id="183" w:name="_Toc313888363"/>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81"/>
      <w:bookmarkEnd w:id="182"/>
      <w:bookmarkEnd w:id="183"/>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4" w:name="OLE_LINK4"/>
      <w:bookmarkStart w:id="185" w:name="OLE_LINK7"/>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4"/>
    <w:bookmarkEnd w:id="185"/>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6" w:name="_Toc31463"/>
      <w:bookmarkStart w:id="187" w:name="_Toc27212"/>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6"/>
    <w:bookmarkEnd w:id="187"/>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8"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8"/>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9"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9"/>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90"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90"/>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3D46671-9E42-4FE5-B2EF-2280ABB3079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2" w:fontKey="{FE083BEE-D106-452B-B51A-33C810D52609}"/>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3" w:fontKey="{3C895122-C56E-480A-84E5-474BEC489E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83815"/>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16D6AC7"/>
    <w:rsid w:val="021D673F"/>
    <w:rsid w:val="022C27C5"/>
    <w:rsid w:val="027473BF"/>
    <w:rsid w:val="02CB7F49"/>
    <w:rsid w:val="02D84414"/>
    <w:rsid w:val="02FE0C09"/>
    <w:rsid w:val="037759DB"/>
    <w:rsid w:val="03BB3ADF"/>
    <w:rsid w:val="03C2134C"/>
    <w:rsid w:val="04DA26C6"/>
    <w:rsid w:val="04DE1E0F"/>
    <w:rsid w:val="04F00597"/>
    <w:rsid w:val="05D9289E"/>
    <w:rsid w:val="05E64439"/>
    <w:rsid w:val="05E94CDF"/>
    <w:rsid w:val="060E092E"/>
    <w:rsid w:val="065A1406"/>
    <w:rsid w:val="067D7A0C"/>
    <w:rsid w:val="06A45EA9"/>
    <w:rsid w:val="06BC1BB0"/>
    <w:rsid w:val="074B1659"/>
    <w:rsid w:val="07911761"/>
    <w:rsid w:val="07C5765D"/>
    <w:rsid w:val="07F26429"/>
    <w:rsid w:val="084C34CD"/>
    <w:rsid w:val="08EF313E"/>
    <w:rsid w:val="094176DB"/>
    <w:rsid w:val="0ACB5503"/>
    <w:rsid w:val="0ACF458A"/>
    <w:rsid w:val="0AFB7145"/>
    <w:rsid w:val="0B6515A1"/>
    <w:rsid w:val="0B6F68C5"/>
    <w:rsid w:val="0BAE21B6"/>
    <w:rsid w:val="0BDC31C7"/>
    <w:rsid w:val="0BE1258C"/>
    <w:rsid w:val="0BE64970"/>
    <w:rsid w:val="0C033E70"/>
    <w:rsid w:val="0C3152C1"/>
    <w:rsid w:val="0C481EEF"/>
    <w:rsid w:val="0C56674E"/>
    <w:rsid w:val="0C931BB2"/>
    <w:rsid w:val="0C975B64"/>
    <w:rsid w:val="0C9D3992"/>
    <w:rsid w:val="0D4D5237"/>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D034D"/>
    <w:rsid w:val="134E0964"/>
    <w:rsid w:val="13633F56"/>
    <w:rsid w:val="13653AA2"/>
    <w:rsid w:val="13BA1693"/>
    <w:rsid w:val="13D52C1B"/>
    <w:rsid w:val="13F41DC8"/>
    <w:rsid w:val="144B1714"/>
    <w:rsid w:val="14B95EDB"/>
    <w:rsid w:val="14C6168E"/>
    <w:rsid w:val="14C6556D"/>
    <w:rsid w:val="14E12006"/>
    <w:rsid w:val="1554725E"/>
    <w:rsid w:val="15604521"/>
    <w:rsid w:val="156125ED"/>
    <w:rsid w:val="158D32E0"/>
    <w:rsid w:val="16243DF1"/>
    <w:rsid w:val="16585A73"/>
    <w:rsid w:val="165A4E2F"/>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66752D"/>
    <w:rsid w:val="1C6945DA"/>
    <w:rsid w:val="1CD22D64"/>
    <w:rsid w:val="1CED540D"/>
    <w:rsid w:val="1CF33ECD"/>
    <w:rsid w:val="1CF736B7"/>
    <w:rsid w:val="1D632E00"/>
    <w:rsid w:val="1DD87EDC"/>
    <w:rsid w:val="1DDA4D59"/>
    <w:rsid w:val="1E8652AA"/>
    <w:rsid w:val="1E9D4968"/>
    <w:rsid w:val="1EB13D33"/>
    <w:rsid w:val="1EBB0A1A"/>
    <w:rsid w:val="1EC379F5"/>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9A97C21"/>
    <w:rsid w:val="29AE525D"/>
    <w:rsid w:val="2A0812C8"/>
    <w:rsid w:val="2B3D6767"/>
    <w:rsid w:val="2B57565F"/>
    <w:rsid w:val="2BBD2276"/>
    <w:rsid w:val="2C812A23"/>
    <w:rsid w:val="2CDF621C"/>
    <w:rsid w:val="2CF2794B"/>
    <w:rsid w:val="2D9073ED"/>
    <w:rsid w:val="2DDB0955"/>
    <w:rsid w:val="2E4A05E4"/>
    <w:rsid w:val="2F124686"/>
    <w:rsid w:val="2F1F1F02"/>
    <w:rsid w:val="2F2348BD"/>
    <w:rsid w:val="2F6F1AD9"/>
    <w:rsid w:val="2F831DB2"/>
    <w:rsid w:val="2F943FCB"/>
    <w:rsid w:val="2FD06C0B"/>
    <w:rsid w:val="30381B81"/>
    <w:rsid w:val="30A44277"/>
    <w:rsid w:val="30B15F03"/>
    <w:rsid w:val="30B30136"/>
    <w:rsid w:val="30ED360E"/>
    <w:rsid w:val="31CA4358"/>
    <w:rsid w:val="31FA7479"/>
    <w:rsid w:val="32050A97"/>
    <w:rsid w:val="32284BF5"/>
    <w:rsid w:val="32DA1DD4"/>
    <w:rsid w:val="33323C73"/>
    <w:rsid w:val="333A0B2D"/>
    <w:rsid w:val="333F5C66"/>
    <w:rsid w:val="3361798A"/>
    <w:rsid w:val="33861085"/>
    <w:rsid w:val="34477E1A"/>
    <w:rsid w:val="34B44507"/>
    <w:rsid w:val="35687566"/>
    <w:rsid w:val="35B15F88"/>
    <w:rsid w:val="35D501BC"/>
    <w:rsid w:val="35E87A5C"/>
    <w:rsid w:val="3608331B"/>
    <w:rsid w:val="36382C0F"/>
    <w:rsid w:val="36725171"/>
    <w:rsid w:val="36834056"/>
    <w:rsid w:val="369E1EBF"/>
    <w:rsid w:val="369E4A52"/>
    <w:rsid w:val="36A73740"/>
    <w:rsid w:val="36EC0B56"/>
    <w:rsid w:val="37542B62"/>
    <w:rsid w:val="375A306E"/>
    <w:rsid w:val="37D83F93"/>
    <w:rsid w:val="382D2437"/>
    <w:rsid w:val="38442273"/>
    <w:rsid w:val="385D0EF3"/>
    <w:rsid w:val="389536A9"/>
    <w:rsid w:val="38C010B0"/>
    <w:rsid w:val="38E86458"/>
    <w:rsid w:val="38EB2B69"/>
    <w:rsid w:val="391C67AE"/>
    <w:rsid w:val="39486CC3"/>
    <w:rsid w:val="39A3534F"/>
    <w:rsid w:val="39D65068"/>
    <w:rsid w:val="3A182084"/>
    <w:rsid w:val="3AA25DEC"/>
    <w:rsid w:val="3AC648F5"/>
    <w:rsid w:val="3B30241A"/>
    <w:rsid w:val="3B5B756F"/>
    <w:rsid w:val="3B870893"/>
    <w:rsid w:val="3C4F6F1A"/>
    <w:rsid w:val="3D2F290C"/>
    <w:rsid w:val="3D462EBD"/>
    <w:rsid w:val="3D4C1E7B"/>
    <w:rsid w:val="3D6E2990"/>
    <w:rsid w:val="3DC21444"/>
    <w:rsid w:val="3DD60FEB"/>
    <w:rsid w:val="3E263CAA"/>
    <w:rsid w:val="3E491747"/>
    <w:rsid w:val="3E6B192F"/>
    <w:rsid w:val="3EA55BAC"/>
    <w:rsid w:val="3EEF12C4"/>
    <w:rsid w:val="3F150346"/>
    <w:rsid w:val="3F4757B8"/>
    <w:rsid w:val="3F591E5E"/>
    <w:rsid w:val="3F5A6C6F"/>
    <w:rsid w:val="3FC45529"/>
    <w:rsid w:val="3FE1690B"/>
    <w:rsid w:val="40113C23"/>
    <w:rsid w:val="403F2E01"/>
    <w:rsid w:val="404A2E64"/>
    <w:rsid w:val="40AB0EC9"/>
    <w:rsid w:val="40C2612C"/>
    <w:rsid w:val="40E52488"/>
    <w:rsid w:val="41007A8F"/>
    <w:rsid w:val="415869FC"/>
    <w:rsid w:val="41670862"/>
    <w:rsid w:val="41A907CE"/>
    <w:rsid w:val="41AB14E8"/>
    <w:rsid w:val="41AC0B4D"/>
    <w:rsid w:val="41D4500D"/>
    <w:rsid w:val="41D67141"/>
    <w:rsid w:val="41F534A6"/>
    <w:rsid w:val="41F5463E"/>
    <w:rsid w:val="42030507"/>
    <w:rsid w:val="420A020E"/>
    <w:rsid w:val="420A1906"/>
    <w:rsid w:val="423F7EC6"/>
    <w:rsid w:val="42720834"/>
    <w:rsid w:val="427D3729"/>
    <w:rsid w:val="428345E9"/>
    <w:rsid w:val="429D5EC0"/>
    <w:rsid w:val="42A40896"/>
    <w:rsid w:val="42BD50C4"/>
    <w:rsid w:val="437470EA"/>
    <w:rsid w:val="437C12A7"/>
    <w:rsid w:val="43F81C45"/>
    <w:rsid w:val="441F4671"/>
    <w:rsid w:val="444565A3"/>
    <w:rsid w:val="447A6AFE"/>
    <w:rsid w:val="44E95A32"/>
    <w:rsid w:val="455E6EF1"/>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41B9B"/>
    <w:rsid w:val="4AED1C9D"/>
    <w:rsid w:val="4B597B89"/>
    <w:rsid w:val="4BE8259F"/>
    <w:rsid w:val="4C025EBB"/>
    <w:rsid w:val="4C2E71C3"/>
    <w:rsid w:val="4C4E289A"/>
    <w:rsid w:val="4DBE5CAD"/>
    <w:rsid w:val="4DD75684"/>
    <w:rsid w:val="4E0D2518"/>
    <w:rsid w:val="4E231003"/>
    <w:rsid w:val="4E3873B7"/>
    <w:rsid w:val="4E9956DB"/>
    <w:rsid w:val="4EF70D4B"/>
    <w:rsid w:val="4F2E0C11"/>
    <w:rsid w:val="4F79418A"/>
    <w:rsid w:val="4FEA695B"/>
    <w:rsid w:val="50472E90"/>
    <w:rsid w:val="50A2078E"/>
    <w:rsid w:val="50B9275C"/>
    <w:rsid w:val="50F72CC9"/>
    <w:rsid w:val="50FE286B"/>
    <w:rsid w:val="514069D9"/>
    <w:rsid w:val="51932220"/>
    <w:rsid w:val="51D77CAA"/>
    <w:rsid w:val="52173BDE"/>
    <w:rsid w:val="5228244C"/>
    <w:rsid w:val="529620AE"/>
    <w:rsid w:val="52EB291F"/>
    <w:rsid w:val="52ED493F"/>
    <w:rsid w:val="52F55822"/>
    <w:rsid w:val="52F92000"/>
    <w:rsid w:val="531F0FF7"/>
    <w:rsid w:val="53B56AAB"/>
    <w:rsid w:val="53E03D6D"/>
    <w:rsid w:val="53E144A4"/>
    <w:rsid w:val="542E6703"/>
    <w:rsid w:val="54333CD5"/>
    <w:rsid w:val="546107D9"/>
    <w:rsid w:val="546E506B"/>
    <w:rsid w:val="549E2395"/>
    <w:rsid w:val="55297C80"/>
    <w:rsid w:val="5531155E"/>
    <w:rsid w:val="565C7750"/>
    <w:rsid w:val="56644F18"/>
    <w:rsid w:val="56A12956"/>
    <w:rsid w:val="56FF2E93"/>
    <w:rsid w:val="576D5122"/>
    <w:rsid w:val="57A5783A"/>
    <w:rsid w:val="58506377"/>
    <w:rsid w:val="586259DC"/>
    <w:rsid w:val="58625BCC"/>
    <w:rsid w:val="58627B7D"/>
    <w:rsid w:val="58B574EB"/>
    <w:rsid w:val="58FC1D80"/>
    <w:rsid w:val="593509FB"/>
    <w:rsid w:val="597817D1"/>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A30CCB"/>
    <w:rsid w:val="62E7614F"/>
    <w:rsid w:val="62F24507"/>
    <w:rsid w:val="6352606D"/>
    <w:rsid w:val="639436E3"/>
    <w:rsid w:val="6445282D"/>
    <w:rsid w:val="645A13DB"/>
    <w:rsid w:val="648C045C"/>
    <w:rsid w:val="656A40F1"/>
    <w:rsid w:val="658C5E23"/>
    <w:rsid w:val="65F9363E"/>
    <w:rsid w:val="662057C9"/>
    <w:rsid w:val="66426E7D"/>
    <w:rsid w:val="667E25AF"/>
    <w:rsid w:val="66815672"/>
    <w:rsid w:val="67152E14"/>
    <w:rsid w:val="67770DF7"/>
    <w:rsid w:val="679C27B9"/>
    <w:rsid w:val="67CB3049"/>
    <w:rsid w:val="67FF2A16"/>
    <w:rsid w:val="682465CF"/>
    <w:rsid w:val="68EA74FF"/>
    <w:rsid w:val="6972525B"/>
    <w:rsid w:val="69C211FB"/>
    <w:rsid w:val="69FC5E8B"/>
    <w:rsid w:val="6A16113C"/>
    <w:rsid w:val="6AD14E1A"/>
    <w:rsid w:val="6AE1793A"/>
    <w:rsid w:val="6B056872"/>
    <w:rsid w:val="6B1765A5"/>
    <w:rsid w:val="6B217424"/>
    <w:rsid w:val="6B28360F"/>
    <w:rsid w:val="6B40015A"/>
    <w:rsid w:val="6B9F4D55"/>
    <w:rsid w:val="6BAA3DD9"/>
    <w:rsid w:val="6C172D01"/>
    <w:rsid w:val="6C5B0433"/>
    <w:rsid w:val="6CC2767B"/>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841954"/>
    <w:rsid w:val="72AA2579"/>
    <w:rsid w:val="73614D85"/>
    <w:rsid w:val="7363682B"/>
    <w:rsid w:val="739465A0"/>
    <w:rsid w:val="73A82490"/>
    <w:rsid w:val="73AA3664"/>
    <w:rsid w:val="73B34AD5"/>
    <w:rsid w:val="73D42B6E"/>
    <w:rsid w:val="743B3E3F"/>
    <w:rsid w:val="74A63C4A"/>
    <w:rsid w:val="74E41D61"/>
    <w:rsid w:val="765A00C6"/>
    <w:rsid w:val="76995E63"/>
    <w:rsid w:val="77452BA0"/>
    <w:rsid w:val="774923FD"/>
    <w:rsid w:val="777E28EC"/>
    <w:rsid w:val="77B52272"/>
    <w:rsid w:val="77E837A3"/>
    <w:rsid w:val="78120C80"/>
    <w:rsid w:val="783A1618"/>
    <w:rsid w:val="788222E3"/>
    <w:rsid w:val="7908485F"/>
    <w:rsid w:val="7936053E"/>
    <w:rsid w:val="793F0B2C"/>
    <w:rsid w:val="794B322E"/>
    <w:rsid w:val="797D07AB"/>
    <w:rsid w:val="79AC25AE"/>
    <w:rsid w:val="7AAC0A0E"/>
    <w:rsid w:val="7B237CCD"/>
    <w:rsid w:val="7B306E47"/>
    <w:rsid w:val="7B8C6B3B"/>
    <w:rsid w:val="7BB717C3"/>
    <w:rsid w:val="7BD77DB7"/>
    <w:rsid w:val="7C3F595C"/>
    <w:rsid w:val="7C507B69"/>
    <w:rsid w:val="7C683BAE"/>
    <w:rsid w:val="7CBD0742"/>
    <w:rsid w:val="7CC601EC"/>
    <w:rsid w:val="7D162D31"/>
    <w:rsid w:val="7D7D55A3"/>
    <w:rsid w:val="7DE81FDD"/>
    <w:rsid w:val="7E075BE0"/>
    <w:rsid w:val="7E3C60AD"/>
    <w:rsid w:val="7EC565EC"/>
    <w:rsid w:val="7EEF5417"/>
    <w:rsid w:val="7F0D3AEF"/>
    <w:rsid w:val="7F435763"/>
    <w:rsid w:val="7F787175"/>
    <w:rsid w:val="7FC371D3"/>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11850</Words>
  <Characters>12094</Characters>
  <Lines>182</Lines>
  <Paragraphs>51</Paragraphs>
  <TotalTime>5</TotalTime>
  <ScaleCrop>false</ScaleCrop>
  <LinksUpToDate>false</LinksUpToDate>
  <CharactersWithSpaces>12598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2026-03-05T02:20:08Z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