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hint="eastAsia" w:ascii="楷体" w:hAnsi="楷体" w:eastAsia="楷体"/>
          <w:b/>
          <w:sz w:val="28"/>
          <w:szCs w:val="28"/>
          <w:lang w:eastAsia="zh-CN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（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第二次</w:t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）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/>
          <w:b/>
          <w:sz w:val="24"/>
          <w:szCs w:val="24"/>
        </w:rPr>
        <w:t>Z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W018</w:t>
      </w:r>
    </w:p>
    <w:tbl>
      <w:tblPr>
        <w:tblStyle w:val="13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兴龙湖院区垃圾桶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刘桂玲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8160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刘桂玲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兴龙湖院区垃圾桶</w:t>
            </w:r>
          </w:p>
        </w:tc>
        <w:tc>
          <w:tcPr>
            <w:tcW w:w="2320" w:type="dxa"/>
            <w:vAlign w:val="center"/>
          </w:tcPr>
          <w:p w14:paraId="1259C676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</w:p>
          <w:p w14:paraId="0ED50A8E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资金来源：医院自筹</w:t>
            </w:r>
          </w:p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both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总预算3.8万元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val="en-US" w:eastAsia="zh-CN"/>
              </w:rPr>
              <w:t>因报名供应商不足三家，故第二次挂网，已报名供应商不用提交报名资料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（3）具有履行合同所必须的设备和专业技术能力；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6A6DC8F7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兴龙湖院区垃圾桶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的技术要求</w:t>
            </w:r>
          </w:p>
          <w:p w14:paraId="6217A59D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 xml:space="preserve">附件2: 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兴龙湖院区垃圾桶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的商务需求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附加3：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报价单参考模板</w:t>
            </w:r>
          </w:p>
          <w:p w14:paraId="48FB3455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：技术偏离表</w:t>
            </w:r>
          </w:p>
          <w:p w14:paraId="7F9A1974">
            <w:pPr>
              <w:keepLines/>
              <w:spacing w:line="340" w:lineRule="exact"/>
              <w:rPr>
                <w:rFonts w:hint="default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附件5：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报名文件内需要包含：报名资料+报价单+技术/商务偏离表等。（只需要1份，请使用顺丰邮寄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或送达纸质版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07E2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楷体" w:hAnsi="楷体" w:eastAsia="楷体" w:cs="楷体"/>
          <w:b/>
          <w:kern w:val="0"/>
          <w:sz w:val="24"/>
          <w:szCs w:val="24"/>
          <w:lang w:val="en-US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兴龙湖院区垃圾桶的技术参数要求</w:t>
      </w:r>
    </w:p>
    <w:p w14:paraId="4AC194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jc w:val="left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项目一览表</w:t>
      </w:r>
    </w:p>
    <w:p w14:paraId="26FBE0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tbl>
      <w:tblPr>
        <w:tblStyle w:val="12"/>
        <w:tblW w:w="85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36"/>
        <w:gridCol w:w="1646"/>
        <w:gridCol w:w="1345"/>
        <w:gridCol w:w="1752"/>
        <w:gridCol w:w="1223"/>
      </w:tblGrid>
      <w:tr w14:paraId="79507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5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B9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6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最高单价限价（元）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A9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801F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医疗垃圾桶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5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100L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A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60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D00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0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3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80L（脚踏式）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4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A0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B50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2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B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70L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4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6B5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25C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C3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F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60L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DF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957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5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F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2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30L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3B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CF6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8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2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18L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04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967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3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D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可回收垃圾桶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7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100L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995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32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F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F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3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60L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A3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C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47D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2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厨余垃圾桶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9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100L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A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F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18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957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3C9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1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60L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A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A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EF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22A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其他垃圾桶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9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240L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49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915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29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8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100L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5E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A7E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A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32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C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60L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B3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A5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6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4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30L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A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26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B66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AE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5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10L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43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1A0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1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厨余+其他垃圾组合桶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D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60L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15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DA0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4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可回收+其他垃圾组合桶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3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60L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193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D1D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C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8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40L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0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0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82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45DDF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5C06261B"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技术参数需求</w:t>
      </w:r>
    </w:p>
    <w:p w14:paraId="20618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1" w:firstLineChars="1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（一）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医疗垃圾桶</w:t>
      </w:r>
    </w:p>
    <w:p w14:paraId="51C67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容积：100L</w:t>
      </w:r>
    </w:p>
    <w:p w14:paraId="20CA3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1.1</w:t>
      </w:r>
      <w:r>
        <w:rPr>
          <w:rFonts w:hint="eastAsia" w:ascii="宋体" w:hAnsi="宋体" w:eastAsia="宋体" w:cs="宋体"/>
          <w:sz w:val="24"/>
          <w:szCs w:val="24"/>
        </w:rPr>
        <w:t xml:space="preserve">两轮移动式垃圾桶，包括桶身、桶盖、铰链、手柄、滚轮及轮轴。 </w:t>
      </w:r>
    </w:p>
    <w:p w14:paraId="4F9B6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1.2</w:t>
      </w:r>
      <w:r>
        <w:rPr>
          <w:rFonts w:hint="eastAsia" w:ascii="宋体" w:hAnsi="宋体" w:eastAsia="宋体" w:cs="宋体"/>
          <w:sz w:val="24"/>
          <w:szCs w:val="24"/>
        </w:rPr>
        <w:t xml:space="preserve">垃圾桶颜色采用国内最新颜色色系标准，为纯黄色，颜色透亮无杂质；符合国家城镇建设行业CJ/T280-2008《塑料垃圾桶通用技术条件》标准要求。 </w:t>
      </w:r>
    </w:p>
    <w:p w14:paraId="1DCAD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1.3</w:t>
      </w:r>
      <w:r>
        <w:rPr>
          <w:rFonts w:hint="eastAsia" w:ascii="宋体" w:hAnsi="宋体" w:eastAsia="宋体" w:cs="宋体"/>
          <w:sz w:val="24"/>
          <w:szCs w:val="24"/>
        </w:rPr>
        <w:t>桶盖开启方式为手开式。</w:t>
      </w:r>
    </w:p>
    <w:p w14:paraId="3C2AD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1.4</w:t>
      </w:r>
      <w:r>
        <w:rPr>
          <w:rFonts w:hint="eastAsia" w:ascii="宋体" w:hAnsi="宋体" w:eastAsia="宋体" w:cs="宋体"/>
          <w:sz w:val="24"/>
          <w:szCs w:val="24"/>
        </w:rPr>
        <w:t xml:space="preserve">桶身及桶盖采用全新高密度聚乙烯（HDPE）塑料。 </w:t>
      </w:r>
    </w:p>
    <w:p w14:paraId="25D9F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 xml:space="preserve">5垃圾桶抗冷热，抗老化，可在-30℃至120℃区间内正常使用，不变形、不开裂；表面光滑平整，色泽均匀，3年不褪色，耐腐蚀且具有良好的冲击韧性。 </w:t>
      </w:r>
    </w:p>
    <w:p w14:paraId="33F3B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6桶身壁厚≥3.00mm，桶底厚度≥2.4mm，桶盖厚度≥2.3mm。</w:t>
      </w:r>
    </w:p>
    <w:p w14:paraId="032DC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 xml:space="preserve">7轮轴表面经过电镀锌防腐处理，坚固耐用。 </w:t>
      </w:r>
    </w:p>
    <w:p w14:paraId="2FF9E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8滚轮轮毂及辋圈为高密度聚乙烯材质；轮胎为100%橡胶材质。</w:t>
      </w:r>
    </w:p>
    <w:p w14:paraId="13116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19" w:leftChars="152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9橡胶轮与底轴连接为插入固定，防止盗卸。</w:t>
      </w:r>
    </w:p>
    <w:p w14:paraId="43DD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10桶体把手和桶体一体成型，抓握舒适。</w:t>
      </w:r>
    </w:p>
    <w:p w14:paraId="4A089D77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11标识采用丝网印制，盖子桶身均有医疗废物标志，保证垃圾桶使用寿命内永不脱落，标识颜色为黑色。</w:t>
      </w:r>
    </w:p>
    <w:p w14:paraId="2EEC3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12标识设置位置和样式可根据采购方要求印制专有标识。</w:t>
      </w:r>
    </w:p>
    <w:p w14:paraId="07356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yellow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容积：80L/70L/60L/30L/18L</w:t>
      </w:r>
    </w:p>
    <w:p w14:paraId="2692F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1垃圾桶颜色采用国内最新颜色色系标准，为纯黄色，颜色透亮无杂质；符合国家城镇建设行业CJ/T280-2008《塑料垃圾桶通用技术条件》标准要求。</w:t>
      </w:r>
    </w:p>
    <w:p w14:paraId="352FF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 xml:space="preserve">2材质为全新高密度聚乙烯HDPE塑料。 </w:t>
      </w:r>
    </w:p>
    <w:p w14:paraId="0F58C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 xml:space="preserve">3桶盖开启方式为脚踏式。 </w:t>
      </w:r>
    </w:p>
    <w:p w14:paraId="75736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4垃圾桶耐酸，耐碱，耐腐蚀，抗老化，可在-30℃至60℃区间内正常使用，不变形，不开裂。色彩鲜亮，3年不褪色。表面光洁，减少垃圾残留，易于清洁。</w:t>
      </w:r>
    </w:p>
    <w:p w14:paraId="59122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 xml:space="preserve">5桶身厚度≥1.5mm。 </w:t>
      </w:r>
    </w:p>
    <w:p w14:paraId="5BA16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6标识采用丝网印制，盖子桶身均有医疗废物标志，保证垃圾桶使用寿命内永不脱落，标识颜色为黑色。</w:t>
      </w:r>
    </w:p>
    <w:p w14:paraId="78D7D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7标识设置位置和样式也可根据采购方要求印制专有标识。</w:t>
      </w:r>
    </w:p>
    <w:p w14:paraId="52A00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1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生活垃圾分类垃圾桶</w:t>
      </w:r>
    </w:p>
    <w:p w14:paraId="09513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容积：240L/100L</w:t>
      </w:r>
    </w:p>
    <w:p w14:paraId="4909A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两轮移动式分类垃圾桶，包括桶身、桶盖、铰链、手柄、滚轮及轮轴。</w:t>
      </w:r>
    </w:p>
    <w:p w14:paraId="5F147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2垃圾桶颜色采用国内最新颜色色系标准，颜色透亮无杂质。符合国家城镇建设行业CJ/T280-2008《塑料垃圾桶通用技术条件》标准要求。垃圾桶颜色为红色、蓝色、绿色、黑色可选。</w:t>
      </w:r>
    </w:p>
    <w:p w14:paraId="41780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3桶盖开启方式为手开式。</w:t>
      </w:r>
    </w:p>
    <w:p w14:paraId="68B54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 xml:space="preserve">4桶身及桶盖采用全新高密度聚乙烯（HDPE）塑料。 </w:t>
      </w:r>
    </w:p>
    <w:p w14:paraId="280C1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 xml:space="preserve">5垃圾桶抗冷热，抗老化，可在-30℃至120℃区间内正常使用，不变形、不开裂；表面光滑平整，色泽均匀，3年不褪色，耐腐蚀且具有良好的冲击韧性。 </w:t>
      </w:r>
    </w:p>
    <w:p w14:paraId="35F37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6桶身壁厚≥3.00mm，桶底厚度≥2.4mm，桶盖厚度≥2.3mm。</w:t>
      </w:r>
    </w:p>
    <w:p w14:paraId="51AE8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 xml:space="preserve">7轮轴表面经过电镀锌防腐处理，坚固耐用。 </w:t>
      </w:r>
    </w:p>
    <w:p w14:paraId="41069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8滚轮轮毂及辋圈为高密度聚乙烯材质；轮胎为100%橡胶材质。</w:t>
      </w:r>
    </w:p>
    <w:p w14:paraId="307A2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19" w:leftChars="152" w:firstLine="240" w:firstLineChars="1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9橡胶轮与底轴连接方式为插入固定，防止盗卸。</w:t>
      </w:r>
    </w:p>
    <w:p w14:paraId="5EAC1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10桶体把手和桶体一体成型，抓握舒适。</w:t>
      </w:r>
    </w:p>
    <w:p w14:paraId="5FC08FFF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11标识采用丝网印制，盖子桶身均有标志，保证垃圾桶使用寿命内永不脱落。</w:t>
      </w:r>
    </w:p>
    <w:p w14:paraId="26A53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12100L垃圾桶的桶体前口与车辆提升机架配合吊桶处配有加强筋，以提高运载能力。</w:t>
      </w:r>
    </w:p>
    <w:p w14:paraId="2203E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容积：60L/40L/30L/20L/10L，60L/40L 双分类组合式</w:t>
      </w:r>
    </w:p>
    <w:p w14:paraId="6821C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1垃圾桶颜色采用国内最新颜色色系标准，颜色透亮无杂质；符合国家城镇建设行业CJ/T280-2008《塑料垃圾桶通用技术条件》标准要求。垃圾桶颜色为红色、蓝色、绿色、黑色可选。</w:t>
      </w:r>
    </w:p>
    <w:p w14:paraId="65671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 xml:space="preserve">2材质为全新高密度聚乙烯HDPE塑料。 </w:t>
      </w:r>
    </w:p>
    <w:p w14:paraId="5E943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10L垃圾桶桶盖开启方式为翻盖式，其余为脚踏式。 </w:t>
      </w:r>
    </w:p>
    <w:p w14:paraId="51638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4垃圾桶耐酸，耐碱，耐腐蚀，抗老化，可在-30℃至60℃区间内正常使用，不变形，不开裂。色彩鲜亮，3年不褪色。表面光洁，减少垃圾残留，易于清洁。</w:t>
      </w:r>
    </w:p>
    <w:p w14:paraId="31F33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 xml:space="preserve">5桶身厚度≥1.5mm。 </w:t>
      </w:r>
    </w:p>
    <w:p w14:paraId="70EE0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6标识采用丝网印制，盖子桶身均有标识，保证垃圾桶使用寿命内永不脱落。</w:t>
      </w:r>
    </w:p>
    <w:p w14:paraId="37C97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60L、40L双分类垃圾桶可任意组合垃圾桶颜色。</w:t>
      </w:r>
    </w:p>
    <w:p w14:paraId="20268B8B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9D3A728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1F099BC4">
      <w:pPr>
        <w:spacing w:line="52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E7155B1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681F05E2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6F0E86C9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 w14:paraId="436284D5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附件2：兴龙湖院区垃圾桶的商务需求</w:t>
      </w:r>
    </w:p>
    <w:p w14:paraId="2C58B94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产品质量：</w:t>
      </w:r>
      <w:r>
        <w:rPr>
          <w:rFonts w:hint="eastAsia" w:hAnsi="宋体" w:cs="宋体"/>
          <w:sz w:val="24"/>
          <w:szCs w:val="24"/>
          <w:lang w:val="en-US" w:eastAsia="zh-CN"/>
        </w:rPr>
        <w:t>产品必须为正规厂家生产的合格产品，产品质量须符合国家相关的产品质量标准及卫生要求，不得以次充好、以假充真。提供产品检验报告或合格证明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9FF536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2.质保期：1年及以上。</w:t>
      </w:r>
    </w:p>
    <w:p w14:paraId="53AA362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hAnsi="宋体" w:cs="宋体"/>
          <w:sz w:val="24"/>
          <w:szCs w:val="24"/>
          <w:lang w:val="en-US" w:eastAsia="zh-CN"/>
        </w:rPr>
        <w:t>到货</w:t>
      </w:r>
      <w:r>
        <w:rPr>
          <w:rFonts w:hint="eastAsia" w:ascii="宋体" w:hAnsi="宋体" w:eastAsia="宋体" w:cs="宋体"/>
          <w:sz w:val="24"/>
          <w:szCs w:val="24"/>
        </w:rPr>
        <w:t>期要求：</w:t>
      </w:r>
      <w:r>
        <w:rPr>
          <w:rFonts w:hint="eastAsia" w:hAnsi="宋体" w:cs="宋体"/>
          <w:sz w:val="24"/>
          <w:szCs w:val="24"/>
          <w:lang w:val="en-US" w:eastAsia="zh-CN"/>
        </w:rPr>
        <w:t>合同签订后，供货方应在接到采购方电话通知后15天内供货安装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78E65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.报价要求：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供货方按照报价表进行报价，各项报价均包含货款、运输费、搬运费、保险费、税费等各项费用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6CB3020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.验收方式：</w:t>
      </w:r>
      <w:r>
        <w:rPr>
          <w:rFonts w:hint="eastAsia" w:hAnsi="宋体" w:cs="宋体"/>
          <w:sz w:val="24"/>
          <w:szCs w:val="24"/>
          <w:lang w:val="en-US" w:eastAsia="zh-CN"/>
        </w:rPr>
        <w:t>供货方</w:t>
      </w:r>
      <w:r>
        <w:rPr>
          <w:rFonts w:hint="eastAsia" w:ascii="宋体" w:hAnsi="宋体" w:eastAsia="宋体" w:cs="宋体"/>
          <w:sz w:val="24"/>
          <w:szCs w:val="24"/>
        </w:rPr>
        <w:t>按期供货，</w:t>
      </w:r>
      <w:r>
        <w:rPr>
          <w:rFonts w:hint="eastAsia" w:hAnsi="宋体" w:cs="宋体"/>
          <w:sz w:val="24"/>
          <w:szCs w:val="24"/>
          <w:lang w:val="en-US" w:eastAsia="zh-CN"/>
        </w:rPr>
        <w:t>由</w:t>
      </w:r>
      <w:r>
        <w:rPr>
          <w:rFonts w:hint="eastAsia" w:ascii="宋体" w:hAnsi="宋体" w:eastAsia="宋体" w:cs="宋体"/>
          <w:sz w:val="24"/>
          <w:szCs w:val="24"/>
        </w:rPr>
        <w:t>采购</w:t>
      </w:r>
      <w:r>
        <w:rPr>
          <w:rFonts w:hint="eastAsia" w:hAnsi="宋体" w:cs="宋体"/>
          <w:sz w:val="24"/>
          <w:szCs w:val="24"/>
          <w:lang w:val="en-US" w:eastAsia="zh-CN"/>
        </w:rPr>
        <w:t>方收货人员</w:t>
      </w:r>
      <w:r>
        <w:rPr>
          <w:rFonts w:hint="eastAsia" w:ascii="宋体" w:hAnsi="宋体" w:eastAsia="宋体" w:cs="宋体"/>
          <w:sz w:val="24"/>
          <w:szCs w:val="24"/>
        </w:rPr>
        <w:t>验收</w:t>
      </w:r>
      <w:r>
        <w:rPr>
          <w:rFonts w:hint="eastAsia" w:hAnsi="宋体" w:cs="宋体"/>
          <w:sz w:val="24"/>
          <w:szCs w:val="24"/>
          <w:lang w:val="en-US" w:eastAsia="zh-CN"/>
        </w:rPr>
        <w:t>入库</w:t>
      </w:r>
      <w:r>
        <w:rPr>
          <w:rFonts w:hint="eastAsia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合格后</w:t>
      </w:r>
      <w:r>
        <w:rPr>
          <w:rFonts w:hint="eastAsia" w:hAnsi="宋体" w:cs="宋体"/>
          <w:sz w:val="24"/>
          <w:szCs w:val="24"/>
          <w:lang w:val="en-US" w:eastAsia="zh-CN"/>
        </w:rPr>
        <w:t>双方</w:t>
      </w:r>
      <w:r>
        <w:rPr>
          <w:rFonts w:hint="eastAsia" w:ascii="宋体" w:hAnsi="宋体" w:eastAsia="宋体" w:cs="宋体"/>
          <w:sz w:val="24"/>
          <w:szCs w:val="24"/>
        </w:rPr>
        <w:t>共同签字确认。</w:t>
      </w:r>
    </w:p>
    <w:p w14:paraId="35839860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付款方式：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合同签订时，成交供应商向采购方转账支付合同金额8%的履约保证金；验收合格后，供货方提供验收资料、有效合法发票，经采购方审核无误后60日内转账支付合同价款100%；履约保证金在质保期满后60日内无息退还。</w:t>
      </w:r>
    </w:p>
    <w:p w14:paraId="654610D1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7.售后服务：维修响应时间为2小时，4小时内应安排维修人员到达现场维修，质保期内免费维修，质保期外维修只收取材料费。</w:t>
      </w:r>
    </w:p>
    <w:p w14:paraId="17D23AC8"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</w:p>
    <w:p w14:paraId="7996A87F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4F195AA">
      <w:pPr>
        <w:keepNext w:val="0"/>
        <w:keepLines w:val="0"/>
        <w:pageBreakBefore w:val="0"/>
        <w:widowControl w:val="0"/>
        <w:tabs>
          <w:tab w:val="left" w:pos="4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1680" w:rightChars="800"/>
        <w:textAlignment w:val="auto"/>
        <w:rPr>
          <w:sz w:val="28"/>
          <w:szCs w:val="28"/>
        </w:rPr>
      </w:pPr>
    </w:p>
    <w:p w14:paraId="60B6044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7281C7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D7F187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0AFBD9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498593E">
      <w:pPr>
        <w:pStyle w:val="4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647FE14">
      <w:pPr>
        <w:pStyle w:val="5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F75F45F">
      <w:pPr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3925409">
      <w:pPr>
        <w:pStyle w:val="4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35C0F6D">
      <w:pPr>
        <w:pStyle w:val="5"/>
        <w:rPr>
          <w:rFonts w:hint="eastAsia"/>
        </w:rPr>
      </w:pPr>
    </w:p>
    <w:p w14:paraId="54DE313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b/>
          <w:kern w:val="0"/>
          <w:sz w:val="24"/>
          <w:szCs w:val="24"/>
        </w:rPr>
        <w:t>：</w:t>
      </w:r>
    </w:p>
    <w:p w14:paraId="34DE6C50">
      <w:pPr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>报</w:t>
      </w:r>
      <w:r>
        <w:rPr>
          <w:rFonts w:hint="eastAsia" w:ascii="楷体" w:hAnsi="楷体" w:eastAsia="楷体" w:cs="楷体"/>
          <w:b/>
          <w:sz w:val="24"/>
          <w:szCs w:val="24"/>
        </w:rPr>
        <w:t>价单参考模板</w:t>
      </w:r>
    </w:p>
    <w:tbl>
      <w:tblPr>
        <w:tblStyle w:val="12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564"/>
        <w:gridCol w:w="1005"/>
        <w:gridCol w:w="825"/>
        <w:gridCol w:w="720"/>
        <w:gridCol w:w="810"/>
        <w:gridCol w:w="645"/>
        <w:gridCol w:w="855"/>
        <w:gridCol w:w="915"/>
        <w:gridCol w:w="805"/>
      </w:tblGrid>
      <w:tr w14:paraId="4704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4" w:type="dxa"/>
            <w:noWrap w:val="0"/>
            <w:vAlign w:val="center"/>
          </w:tcPr>
          <w:p w14:paraId="20F4C2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564" w:type="dxa"/>
            <w:noWrap w:val="0"/>
            <w:vAlign w:val="center"/>
          </w:tcPr>
          <w:p w14:paraId="7E76A2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1005" w:type="dxa"/>
            <w:noWrap w:val="0"/>
            <w:vAlign w:val="center"/>
          </w:tcPr>
          <w:p w14:paraId="5CB92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825" w:type="dxa"/>
            <w:noWrap w:val="0"/>
            <w:vAlign w:val="center"/>
          </w:tcPr>
          <w:p w14:paraId="716EE1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品牌</w:t>
            </w:r>
          </w:p>
        </w:tc>
        <w:tc>
          <w:tcPr>
            <w:tcW w:w="720" w:type="dxa"/>
            <w:noWrap w:val="0"/>
            <w:vAlign w:val="center"/>
          </w:tcPr>
          <w:p w14:paraId="2E6D77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810" w:type="dxa"/>
            <w:noWrap w:val="0"/>
            <w:vAlign w:val="center"/>
          </w:tcPr>
          <w:p w14:paraId="44C0AB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645" w:type="dxa"/>
            <w:noWrap w:val="0"/>
            <w:vAlign w:val="center"/>
          </w:tcPr>
          <w:p w14:paraId="7032794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计量单位</w:t>
            </w:r>
          </w:p>
        </w:tc>
        <w:tc>
          <w:tcPr>
            <w:tcW w:w="855" w:type="dxa"/>
            <w:noWrap w:val="0"/>
            <w:vAlign w:val="center"/>
          </w:tcPr>
          <w:p w14:paraId="28BA19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单价（元）</w:t>
            </w:r>
          </w:p>
        </w:tc>
        <w:tc>
          <w:tcPr>
            <w:tcW w:w="915" w:type="dxa"/>
            <w:noWrap w:val="0"/>
            <w:vAlign w:val="center"/>
          </w:tcPr>
          <w:p w14:paraId="60A157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金额（元）</w:t>
            </w:r>
          </w:p>
        </w:tc>
        <w:tc>
          <w:tcPr>
            <w:tcW w:w="805" w:type="dxa"/>
            <w:noWrap w:val="0"/>
            <w:vAlign w:val="center"/>
          </w:tcPr>
          <w:p w14:paraId="357D97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78B3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110B5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64" w:type="dxa"/>
            <w:noWrap w:val="0"/>
            <w:vAlign w:val="center"/>
          </w:tcPr>
          <w:p w14:paraId="366194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2E56C3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4F4D39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666E7B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FF326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0BD47E4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BF924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A64C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2AF0DA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181CA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39C3D5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5C0324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6447F9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15C681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41EDC3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FB14C2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328CC31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6A191D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6D0B68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72D649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25A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6522CF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4A7BB5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noWrap w:val="0"/>
            <w:vAlign w:val="top"/>
          </w:tcPr>
          <w:p w14:paraId="33524E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0B8777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0C96C8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B2DDB8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6AFED9A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317E00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4E61FD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600D72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80D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noWrap w:val="0"/>
            <w:vAlign w:val="center"/>
          </w:tcPr>
          <w:p w14:paraId="044830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3322B6E6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合计</w:t>
            </w:r>
          </w:p>
        </w:tc>
        <w:tc>
          <w:tcPr>
            <w:tcW w:w="1005" w:type="dxa"/>
            <w:noWrap w:val="0"/>
            <w:vAlign w:val="top"/>
          </w:tcPr>
          <w:p w14:paraId="2F20E0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5" w:type="dxa"/>
            <w:noWrap w:val="0"/>
            <w:vAlign w:val="top"/>
          </w:tcPr>
          <w:p w14:paraId="542079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20" w:type="dxa"/>
            <w:noWrap w:val="0"/>
            <w:vAlign w:val="top"/>
          </w:tcPr>
          <w:p w14:paraId="57E420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91596F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dxa"/>
            <w:noWrap w:val="0"/>
            <w:vAlign w:val="center"/>
          </w:tcPr>
          <w:p w14:paraId="21638047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55" w:type="dxa"/>
            <w:noWrap w:val="0"/>
            <w:vAlign w:val="top"/>
          </w:tcPr>
          <w:p w14:paraId="5AE0BC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15" w:type="dxa"/>
            <w:noWrap w:val="0"/>
            <w:vAlign w:val="top"/>
          </w:tcPr>
          <w:p w14:paraId="74C6EE1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05" w:type="dxa"/>
            <w:noWrap w:val="0"/>
            <w:vAlign w:val="top"/>
          </w:tcPr>
          <w:p w14:paraId="6EE74D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4345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B192D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22C650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大写金额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7FF6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0BE5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286EF5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9A62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质保期（年）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685B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509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64" w:type="dxa"/>
            <w:noWrap w:val="0"/>
            <w:vAlign w:val="center"/>
          </w:tcPr>
          <w:p w14:paraId="1A92A4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...</w:t>
            </w:r>
          </w:p>
        </w:tc>
        <w:tc>
          <w:tcPr>
            <w:tcW w:w="1564" w:type="dxa"/>
            <w:noWrap w:val="0"/>
            <w:vAlign w:val="center"/>
          </w:tcPr>
          <w:p w14:paraId="61BA20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到货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天)</w:t>
            </w:r>
          </w:p>
        </w:tc>
        <w:tc>
          <w:tcPr>
            <w:tcW w:w="6580" w:type="dxa"/>
            <w:gridSpan w:val="8"/>
            <w:noWrap w:val="0"/>
            <w:vAlign w:val="top"/>
          </w:tcPr>
          <w:p w14:paraId="62ED08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512B5841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7418CBEC">
      <w:pPr>
        <w:snapToGrid w:val="0"/>
        <w:spacing w:line="40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</w:t>
      </w:r>
    </w:p>
    <w:p w14:paraId="4976A7DE">
      <w:pPr>
        <w:pStyle w:val="11"/>
        <w:spacing w:before="0" w:beforeAutospacing="0" w:after="0" w:afterAutospacing="0" w:line="400" w:lineRule="exact"/>
        <w:ind w:firstLine="480" w:firstLineChars="200"/>
        <w:rPr>
          <w:rFonts w:hint="eastAsia" w:ascii="宋体" w:hAnsi="宋体" w:eastAsia="宋体" w:cs="宋体"/>
          <w:color w:val="FF0000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Cs w:val="24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本次报价须为人民币报价。报价表应包含产品的名称、品牌、规格型号、生产厂家、计量单位、单价、数量、金额等内容。</w:t>
      </w:r>
      <w:r>
        <w:rPr>
          <w:rFonts w:hint="eastAsia" w:ascii="宋体" w:hAnsi="宋体" w:eastAsia="宋体" w:cs="宋体"/>
          <w:kern w:val="2"/>
          <w:szCs w:val="24"/>
        </w:rPr>
        <w:t>以上报价均为全费用综合报价，应包含</w:t>
      </w:r>
      <w:r>
        <w:rPr>
          <w:rFonts w:hint="eastAsia" w:ascii="宋体" w:hAnsi="宋体" w:eastAsia="宋体" w:cs="宋体"/>
          <w:color w:val="000000"/>
          <w:szCs w:val="28"/>
        </w:rPr>
        <w:t>但</w:t>
      </w:r>
      <w:r>
        <w:rPr>
          <w:rFonts w:hint="eastAsia" w:ascii="宋体" w:hAnsi="宋体" w:eastAsia="宋体" w:cs="宋体"/>
          <w:color w:val="FF0000"/>
          <w:szCs w:val="28"/>
        </w:rPr>
        <w:t>不限于货款、运输费、</w:t>
      </w:r>
      <w:r>
        <w:rPr>
          <w:rFonts w:hint="eastAsia" w:hAnsi="宋体" w:cs="宋体"/>
          <w:color w:val="FF0000"/>
          <w:szCs w:val="28"/>
          <w:lang w:val="en-US" w:eastAsia="zh-CN"/>
        </w:rPr>
        <w:t>搬运费、保险费</w:t>
      </w:r>
      <w:r>
        <w:rPr>
          <w:rFonts w:hint="eastAsia" w:ascii="宋体" w:hAnsi="宋体" w:eastAsia="宋体" w:cs="宋体"/>
          <w:color w:val="FF0000"/>
          <w:szCs w:val="28"/>
        </w:rPr>
        <w:t>、税费等各项费用；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因供货方自身原因造成漏报、少报皆由其自行承担责任，医院不再补偿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。</w:t>
      </w:r>
    </w:p>
    <w:p w14:paraId="07DD1DCA">
      <w:pPr>
        <w:snapToGrid w:val="0"/>
        <w:spacing w:line="400" w:lineRule="exact"/>
        <w:ind w:left="50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2.请供应商完整填写本表；</w:t>
      </w:r>
    </w:p>
    <w:p w14:paraId="1BD31AD8">
      <w:pPr>
        <w:spacing w:line="400" w:lineRule="exact"/>
        <w:ind w:left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3.该表可扩展；</w:t>
      </w:r>
    </w:p>
    <w:p w14:paraId="2C48B1A6">
      <w:pPr>
        <w:spacing w:line="400" w:lineRule="exact"/>
        <w:ind w:left="480"/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4.</w:t>
      </w: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产品名称以产品出厂证明上的实际名称为准</w:t>
      </w:r>
      <w:r>
        <w:rPr>
          <w:rFonts w:hint="eastAsia" w:ascii="宋体" w:hAnsi="宋体" w:eastAsia="宋体" w:cs="宋体"/>
          <w:b/>
          <w:color w:val="FF0000"/>
          <w:sz w:val="24"/>
          <w:szCs w:val="24"/>
          <w:lang w:eastAsia="zh-CN"/>
        </w:rPr>
        <w:t>。</w:t>
      </w:r>
    </w:p>
    <w:p w14:paraId="4F860F79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3684D96B">
      <w:pPr>
        <w:spacing w:line="400" w:lineRule="exact"/>
        <w:ind w:firstLine="600" w:firstLineChars="2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法定代表人或法定代表人授权代表：</w:t>
      </w:r>
    </w:p>
    <w:p w14:paraId="6446F96C">
      <w:pPr>
        <w:spacing w:line="4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（供应商公章）                         （签字或盖章）</w:t>
      </w:r>
    </w:p>
    <w:p w14:paraId="734C6981">
      <w:pPr>
        <w:pStyle w:val="4"/>
        <w:rPr>
          <w:rFonts w:hint="eastAsia" w:ascii="宋体" w:hAnsi="宋体" w:eastAsia="宋体"/>
        </w:rPr>
      </w:pPr>
    </w:p>
    <w:p w14:paraId="68FBF7CA">
      <w:pPr>
        <w:rPr>
          <w:rFonts w:hint="eastAsia" w:ascii="宋体" w:hAnsi="宋体"/>
          <w:i/>
        </w:rPr>
      </w:pPr>
    </w:p>
    <w:p w14:paraId="4E6E7909">
      <w:pPr>
        <w:snapToGrid w:val="0"/>
        <w:spacing w:line="500" w:lineRule="exact"/>
        <w:ind w:firstLine="480"/>
        <w:rPr>
          <w:rFonts w:hint="eastAsia" w:ascii="宋体" w:hAnsi="宋体"/>
          <w:i/>
          <w:sz w:val="24"/>
          <w:szCs w:val="24"/>
        </w:rPr>
      </w:pPr>
      <w:r>
        <w:rPr>
          <w:rFonts w:hint="eastAsia" w:ascii="宋体" w:hAnsi="宋体"/>
          <w:i/>
          <w:sz w:val="24"/>
          <w:szCs w:val="24"/>
        </w:rPr>
        <w:t xml:space="preserve">                                            年     月     日</w:t>
      </w:r>
    </w:p>
    <w:p w14:paraId="6F5F6204">
      <w:pPr>
        <w:rPr>
          <w:rFonts w:hint="eastAsia" w:ascii="楷体" w:hAnsi="楷体" w:eastAsia="楷体" w:cs="楷体"/>
          <w:b/>
          <w:sz w:val="24"/>
          <w:szCs w:val="24"/>
        </w:rPr>
      </w:pPr>
    </w:p>
    <w:p w14:paraId="663D64C3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F18DC4E">
      <w:pPr>
        <w:spacing w:line="32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867B319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技术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质量</w:t>
      </w: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b/>
          <w:sz w:val="24"/>
          <w:szCs w:val="24"/>
        </w:rPr>
        <w:t>响应偏离表</w:t>
      </w:r>
    </w:p>
    <w:p w14:paraId="04ABA038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14CC2430">
      <w:pPr>
        <w:snapToGrid w:val="0"/>
        <w:spacing w:line="400" w:lineRule="exact"/>
        <w:jc w:val="both"/>
        <w:rPr>
          <w:rFonts w:hint="default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2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技术（商务）要求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9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5ADDE972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供应商：                      法定代表人（或其授权代表）或自然人：</w:t>
      </w:r>
    </w:p>
    <w:p w14:paraId="23541E6A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（供应商公章）                               （签署</w:t>
      </w:r>
      <w:r>
        <w:rPr>
          <w:rFonts w:hint="eastAsia" w:ascii="宋体" w:hAnsi="宋体"/>
          <w:sz w:val="24"/>
          <w:szCs w:val="28"/>
        </w:rPr>
        <w:t>或盖章</w:t>
      </w:r>
      <w:r>
        <w:rPr>
          <w:rFonts w:hint="eastAsia" w:ascii="宋体" w:hAnsi="宋体"/>
          <w:sz w:val="24"/>
          <w:szCs w:val="24"/>
        </w:rPr>
        <w:t>）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1、本表即为对本项目“附件1、技术需求”中所列要求进行比较和响应；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4FDDFBF4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6DEDB66E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p w14:paraId="32B4A026">
      <w:pPr>
        <w:snapToGrid w:val="0"/>
        <w:spacing w:line="400" w:lineRule="exact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附件5：</w:t>
      </w:r>
    </w:p>
    <w:p w14:paraId="29B6C2B6">
      <w:pPr>
        <w:snapToGrid w:val="0"/>
        <w:spacing w:line="500" w:lineRule="exact"/>
        <w:ind w:firstLine="480"/>
        <w:jc w:val="center"/>
        <w:rPr>
          <w:rFonts w:hint="eastAsia" w:ascii="宋体" w:hAnsi="宋体"/>
          <w:szCs w:val="28"/>
        </w:rPr>
      </w:pPr>
      <w:r>
        <w:rPr>
          <w:rFonts w:hint="eastAsia" w:ascii="宋体" w:hAnsi="宋体"/>
          <w:szCs w:val="28"/>
        </w:rPr>
        <w:t>商务响应偏离表</w:t>
      </w:r>
    </w:p>
    <w:p w14:paraId="407921FA">
      <w:pPr>
        <w:snapToGrid w:val="0"/>
        <w:spacing w:line="400" w:lineRule="exact"/>
        <w:jc w:val="both"/>
        <w:rPr>
          <w:rFonts w:hint="eastAsia" w:ascii="楷体" w:hAnsi="楷体" w:eastAsia="楷体" w:cs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项目名称：</w:t>
      </w:r>
    </w:p>
    <w:p w14:paraId="7ABCEB69">
      <w:pPr>
        <w:snapToGrid w:val="0"/>
        <w:spacing w:line="400" w:lineRule="exact"/>
        <w:jc w:val="both"/>
        <w:rPr>
          <w:rFonts w:hint="eastAsia" w:ascii="宋体" w:hAnsi="宋体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项目编号：</w:t>
      </w:r>
    </w:p>
    <w:tbl>
      <w:tblPr>
        <w:tblStyle w:val="12"/>
        <w:tblW w:w="94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179"/>
        <w:gridCol w:w="2434"/>
        <w:gridCol w:w="2355"/>
      </w:tblGrid>
      <w:tr w14:paraId="64789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3AE491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179" w:type="dxa"/>
            <w:noWrap w:val="0"/>
            <w:vAlign w:val="center"/>
          </w:tcPr>
          <w:p w14:paraId="23945A1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商务要求</w:t>
            </w:r>
          </w:p>
        </w:tc>
        <w:tc>
          <w:tcPr>
            <w:tcW w:w="2434" w:type="dxa"/>
            <w:noWrap w:val="0"/>
            <w:vAlign w:val="center"/>
          </w:tcPr>
          <w:p w14:paraId="658DC58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</w:p>
        </w:tc>
        <w:tc>
          <w:tcPr>
            <w:tcW w:w="2355" w:type="dxa"/>
            <w:noWrap w:val="0"/>
            <w:vAlign w:val="center"/>
          </w:tcPr>
          <w:p w14:paraId="0332AEC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5448F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683CE65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65E707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07F3AB2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2AC0E2D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5876B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5C1DF3A6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2E894471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119B26EC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3A9BA1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4F02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09838CAA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137CB53F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4738B6E3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606227F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  <w:tr w14:paraId="39EE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0" w:type="dxa"/>
            <w:noWrap w:val="0"/>
            <w:vAlign w:val="center"/>
          </w:tcPr>
          <w:p w14:paraId="3E46C728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3179" w:type="dxa"/>
            <w:noWrap w:val="0"/>
            <w:vAlign w:val="center"/>
          </w:tcPr>
          <w:p w14:paraId="52917032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  <w:noWrap w:val="0"/>
            <w:vAlign w:val="center"/>
          </w:tcPr>
          <w:p w14:paraId="7834C9E9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2355" w:type="dxa"/>
            <w:noWrap w:val="0"/>
            <w:vAlign w:val="center"/>
          </w:tcPr>
          <w:p w14:paraId="016A8D75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</w:p>
        </w:tc>
      </w:tr>
    </w:tbl>
    <w:p w14:paraId="01F06178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</w:p>
    <w:p w14:paraId="100A8283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供应商：                              法定代表人（或其授权代表）或自然人：</w:t>
      </w:r>
    </w:p>
    <w:p w14:paraId="0809B0BD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（供应商公章）                                </w:t>
      </w:r>
      <w:r>
        <w:rPr>
          <w:rFonts w:hint="eastAsia" w:ascii="宋体" w:hAnsi="宋体"/>
          <w:sz w:val="24"/>
          <w:szCs w:val="28"/>
        </w:rPr>
        <w:t>（签署或盖章）</w:t>
      </w:r>
      <w:r>
        <w:rPr>
          <w:rFonts w:hint="eastAsia" w:ascii="宋体" w:hAnsi="宋体"/>
          <w:sz w:val="24"/>
          <w:szCs w:val="24"/>
        </w:rPr>
        <w:t xml:space="preserve">  </w:t>
      </w:r>
    </w:p>
    <w:p w14:paraId="302F9C16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年     月     日</w:t>
      </w:r>
    </w:p>
    <w:p w14:paraId="0C5A21AA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 w14:paraId="50AF684B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/>
          <w:b/>
          <w:sz w:val="24"/>
          <w:szCs w:val="24"/>
        </w:rPr>
        <w:t>、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>商务</w:t>
      </w:r>
      <w:r>
        <w:rPr>
          <w:rFonts w:hint="eastAsia" w:ascii="楷体" w:hAnsi="楷体" w:eastAsia="楷体"/>
          <w:b/>
          <w:sz w:val="24"/>
          <w:szCs w:val="24"/>
        </w:rPr>
        <w:t>需求”中所列要求进行比较和响应；</w:t>
      </w:r>
    </w:p>
    <w:p w14:paraId="79339897">
      <w:pPr>
        <w:snapToGrid w:val="0"/>
        <w:spacing w:line="500" w:lineRule="exact"/>
        <w:ind w:firstLine="480"/>
        <w:rPr>
          <w:rFonts w:hint="eastAsia" w:ascii="宋体" w:hAnsi="宋体"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  <w:r>
        <w:rPr>
          <w:rFonts w:hint="eastAsia" w:ascii="宋体" w:hAnsi="宋体"/>
          <w:sz w:val="24"/>
          <w:szCs w:val="24"/>
        </w:rPr>
        <w:t>。</w:t>
      </w:r>
    </w:p>
    <w:p w14:paraId="0EC9E1CB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520" w:right="1600" w:bottom="280" w:left="16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F9AF4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7F9AF4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4F1C5"/>
    <w:multiLevelType w:val="singleLevel"/>
    <w:tmpl w:val="AEF4F1C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F4D597E"/>
    <w:multiLevelType w:val="singleLevel"/>
    <w:tmpl w:val="4F4D597E"/>
    <w:lvl w:ilvl="0" w:tentative="0">
      <w:start w:val="1"/>
      <w:numFmt w:val="chineseCountingThousand"/>
      <w:suff w:val="nothing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2660EA6"/>
    <w:rsid w:val="03541CED"/>
    <w:rsid w:val="03595555"/>
    <w:rsid w:val="03BD5AE4"/>
    <w:rsid w:val="04106624"/>
    <w:rsid w:val="0559183C"/>
    <w:rsid w:val="056D55A3"/>
    <w:rsid w:val="05D9472B"/>
    <w:rsid w:val="08761FAF"/>
    <w:rsid w:val="08AC59F4"/>
    <w:rsid w:val="0988346A"/>
    <w:rsid w:val="09D21123"/>
    <w:rsid w:val="0A4A209B"/>
    <w:rsid w:val="0AD16319"/>
    <w:rsid w:val="0B1D155E"/>
    <w:rsid w:val="0BE45BD8"/>
    <w:rsid w:val="0BED532D"/>
    <w:rsid w:val="0C4735CD"/>
    <w:rsid w:val="0E1924B1"/>
    <w:rsid w:val="0E497A3E"/>
    <w:rsid w:val="0EAC0C2F"/>
    <w:rsid w:val="0F8C4E54"/>
    <w:rsid w:val="0FD54A01"/>
    <w:rsid w:val="100625C1"/>
    <w:rsid w:val="10931233"/>
    <w:rsid w:val="109951E3"/>
    <w:rsid w:val="10BE7E33"/>
    <w:rsid w:val="11015DBF"/>
    <w:rsid w:val="11415615"/>
    <w:rsid w:val="12016F10"/>
    <w:rsid w:val="122704B0"/>
    <w:rsid w:val="129E76B0"/>
    <w:rsid w:val="12AA1929"/>
    <w:rsid w:val="12D15108"/>
    <w:rsid w:val="13172CDE"/>
    <w:rsid w:val="13387E13"/>
    <w:rsid w:val="13BA5B9C"/>
    <w:rsid w:val="16F2564D"/>
    <w:rsid w:val="171C0087"/>
    <w:rsid w:val="17312619"/>
    <w:rsid w:val="191775ED"/>
    <w:rsid w:val="19575737"/>
    <w:rsid w:val="1A3A71B0"/>
    <w:rsid w:val="1A8B2187"/>
    <w:rsid w:val="1AC94917"/>
    <w:rsid w:val="1BBE2F64"/>
    <w:rsid w:val="1BEC41F7"/>
    <w:rsid w:val="1BF27CFA"/>
    <w:rsid w:val="1CA65F3A"/>
    <w:rsid w:val="1CF71C0F"/>
    <w:rsid w:val="1D7414B2"/>
    <w:rsid w:val="1DD925F6"/>
    <w:rsid w:val="1E002D45"/>
    <w:rsid w:val="1EB51D82"/>
    <w:rsid w:val="1F784B5D"/>
    <w:rsid w:val="1FF64400"/>
    <w:rsid w:val="2086005D"/>
    <w:rsid w:val="209D014A"/>
    <w:rsid w:val="20C02160"/>
    <w:rsid w:val="219F63D1"/>
    <w:rsid w:val="21A34113"/>
    <w:rsid w:val="21D818E3"/>
    <w:rsid w:val="22E03145"/>
    <w:rsid w:val="250F6255"/>
    <w:rsid w:val="27D03788"/>
    <w:rsid w:val="282835C4"/>
    <w:rsid w:val="295A13B4"/>
    <w:rsid w:val="29A924E3"/>
    <w:rsid w:val="2A181417"/>
    <w:rsid w:val="2ABE1FBE"/>
    <w:rsid w:val="2B2C7101"/>
    <w:rsid w:val="2B7D190E"/>
    <w:rsid w:val="2B8A00F2"/>
    <w:rsid w:val="2C6D3C9C"/>
    <w:rsid w:val="2CB76CC5"/>
    <w:rsid w:val="2DA059AB"/>
    <w:rsid w:val="2ECB2EFB"/>
    <w:rsid w:val="2EFA733D"/>
    <w:rsid w:val="2F3A598B"/>
    <w:rsid w:val="2F687BFA"/>
    <w:rsid w:val="30DC319E"/>
    <w:rsid w:val="31AC1C27"/>
    <w:rsid w:val="325925CC"/>
    <w:rsid w:val="32B75C71"/>
    <w:rsid w:val="33C702F3"/>
    <w:rsid w:val="33D25E81"/>
    <w:rsid w:val="355377A7"/>
    <w:rsid w:val="35772A64"/>
    <w:rsid w:val="359202CF"/>
    <w:rsid w:val="366003CD"/>
    <w:rsid w:val="36985DB9"/>
    <w:rsid w:val="36B14C86"/>
    <w:rsid w:val="36E42DAC"/>
    <w:rsid w:val="386D6DD1"/>
    <w:rsid w:val="38D94467"/>
    <w:rsid w:val="39F552D0"/>
    <w:rsid w:val="3B3A743F"/>
    <w:rsid w:val="3B6C3370"/>
    <w:rsid w:val="3B8B7D39"/>
    <w:rsid w:val="3C341752"/>
    <w:rsid w:val="3C5A141B"/>
    <w:rsid w:val="3DA610F5"/>
    <w:rsid w:val="3E5315DD"/>
    <w:rsid w:val="3F8B194E"/>
    <w:rsid w:val="400D3374"/>
    <w:rsid w:val="4021297B"/>
    <w:rsid w:val="410C28BC"/>
    <w:rsid w:val="41436921"/>
    <w:rsid w:val="41D659E7"/>
    <w:rsid w:val="42D71A17"/>
    <w:rsid w:val="43980E0E"/>
    <w:rsid w:val="43F27691"/>
    <w:rsid w:val="441B1DD7"/>
    <w:rsid w:val="44B55D88"/>
    <w:rsid w:val="44D73F50"/>
    <w:rsid w:val="44F945DA"/>
    <w:rsid w:val="455E01CE"/>
    <w:rsid w:val="458D2861"/>
    <w:rsid w:val="45935102"/>
    <w:rsid w:val="46A460B4"/>
    <w:rsid w:val="474433F3"/>
    <w:rsid w:val="486378A9"/>
    <w:rsid w:val="48C77E38"/>
    <w:rsid w:val="497D499A"/>
    <w:rsid w:val="497E0B2D"/>
    <w:rsid w:val="49B04D70"/>
    <w:rsid w:val="49DC532A"/>
    <w:rsid w:val="4A674BED"/>
    <w:rsid w:val="4AB5790C"/>
    <w:rsid w:val="4ACA6D2B"/>
    <w:rsid w:val="4AEB2504"/>
    <w:rsid w:val="4AFF1B0B"/>
    <w:rsid w:val="4B5824F7"/>
    <w:rsid w:val="4B695B51"/>
    <w:rsid w:val="4B6B706E"/>
    <w:rsid w:val="4E564138"/>
    <w:rsid w:val="4FA7106A"/>
    <w:rsid w:val="4FE237A9"/>
    <w:rsid w:val="50C80BF1"/>
    <w:rsid w:val="50D43A3A"/>
    <w:rsid w:val="516A7EFA"/>
    <w:rsid w:val="51823496"/>
    <w:rsid w:val="51FD5C97"/>
    <w:rsid w:val="521265C8"/>
    <w:rsid w:val="529214B7"/>
    <w:rsid w:val="52CF1BE3"/>
    <w:rsid w:val="533B7DA0"/>
    <w:rsid w:val="53FE0C17"/>
    <w:rsid w:val="542720D3"/>
    <w:rsid w:val="54A45387"/>
    <w:rsid w:val="556B5310"/>
    <w:rsid w:val="55AC0AF6"/>
    <w:rsid w:val="55AF63B2"/>
    <w:rsid w:val="55F54236"/>
    <w:rsid w:val="55FD758F"/>
    <w:rsid w:val="56237262"/>
    <w:rsid w:val="5732516C"/>
    <w:rsid w:val="57534CD3"/>
    <w:rsid w:val="57CA34A1"/>
    <w:rsid w:val="595B6AA6"/>
    <w:rsid w:val="59EA27A3"/>
    <w:rsid w:val="5A156AED"/>
    <w:rsid w:val="5A9810E1"/>
    <w:rsid w:val="5B8F2A37"/>
    <w:rsid w:val="5BF154A0"/>
    <w:rsid w:val="5BF9127D"/>
    <w:rsid w:val="5C4E28F2"/>
    <w:rsid w:val="5C7834CB"/>
    <w:rsid w:val="5CC26E3C"/>
    <w:rsid w:val="5E734892"/>
    <w:rsid w:val="5EE73FCE"/>
    <w:rsid w:val="5F681F1D"/>
    <w:rsid w:val="5F942D12"/>
    <w:rsid w:val="6025035B"/>
    <w:rsid w:val="603E3007"/>
    <w:rsid w:val="604A33D1"/>
    <w:rsid w:val="6074799E"/>
    <w:rsid w:val="60F375C4"/>
    <w:rsid w:val="61FA4982"/>
    <w:rsid w:val="62A56FE4"/>
    <w:rsid w:val="62B45479"/>
    <w:rsid w:val="63770981"/>
    <w:rsid w:val="64354398"/>
    <w:rsid w:val="646534C7"/>
    <w:rsid w:val="649317EA"/>
    <w:rsid w:val="64964E36"/>
    <w:rsid w:val="64BB489D"/>
    <w:rsid w:val="66246472"/>
    <w:rsid w:val="66522FDF"/>
    <w:rsid w:val="66BA2932"/>
    <w:rsid w:val="67F228C3"/>
    <w:rsid w:val="683E7CBF"/>
    <w:rsid w:val="68585908"/>
    <w:rsid w:val="6A1C70E9"/>
    <w:rsid w:val="6A3D7B02"/>
    <w:rsid w:val="6B024FE4"/>
    <w:rsid w:val="6B4F3F91"/>
    <w:rsid w:val="6BCE135A"/>
    <w:rsid w:val="6BFE3730"/>
    <w:rsid w:val="6C2E3BA6"/>
    <w:rsid w:val="6C604A30"/>
    <w:rsid w:val="6D1A417B"/>
    <w:rsid w:val="6D350F65"/>
    <w:rsid w:val="6DFF1C9E"/>
    <w:rsid w:val="6E91041D"/>
    <w:rsid w:val="6EA91C0A"/>
    <w:rsid w:val="706758D9"/>
    <w:rsid w:val="70EB77D3"/>
    <w:rsid w:val="71544EDF"/>
    <w:rsid w:val="7177211A"/>
    <w:rsid w:val="71B06EB2"/>
    <w:rsid w:val="71C1726B"/>
    <w:rsid w:val="71C8684B"/>
    <w:rsid w:val="739E2EC6"/>
    <w:rsid w:val="750C4CA1"/>
    <w:rsid w:val="758343B0"/>
    <w:rsid w:val="75D3263E"/>
    <w:rsid w:val="762B12F8"/>
    <w:rsid w:val="76944BF2"/>
    <w:rsid w:val="76FF6275"/>
    <w:rsid w:val="772C162A"/>
    <w:rsid w:val="775A7F45"/>
    <w:rsid w:val="78EF00AF"/>
    <w:rsid w:val="79154129"/>
    <w:rsid w:val="79823710"/>
    <w:rsid w:val="79D212A6"/>
    <w:rsid w:val="7A0B33E2"/>
    <w:rsid w:val="7A4A42A1"/>
    <w:rsid w:val="7A61783D"/>
    <w:rsid w:val="7B0F1047"/>
    <w:rsid w:val="7C2F7ACB"/>
    <w:rsid w:val="7D4D6EDE"/>
    <w:rsid w:val="7DE14F1D"/>
    <w:rsid w:val="7DF52776"/>
    <w:rsid w:val="7DF76C7F"/>
    <w:rsid w:val="7E21356B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link w:val="20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Body Text First Indent"/>
    <w:basedOn w:val="4"/>
    <w:next w:val="1"/>
    <w:qFormat/>
    <w:uiPriority w:val="0"/>
    <w:pPr>
      <w:ind w:firstLine="420" w:firstLineChars="100"/>
    </w:pPr>
  </w:style>
  <w:style w:type="paragraph" w:styleId="6">
    <w:name w:val="Plain Text"/>
    <w:basedOn w:val="1"/>
    <w:link w:val="23"/>
    <w:autoRedefine/>
    <w:qFormat/>
    <w:uiPriority w:val="0"/>
    <w:rPr>
      <w:rFonts w:ascii="宋体" w:hAnsi="Courier New" w:eastAsia="宋体" w:cs="Courier New"/>
      <w:szCs w:val="21"/>
    </w:rPr>
  </w:style>
  <w:style w:type="paragraph" w:styleId="7">
    <w:name w:val="Balloon Text"/>
    <w:basedOn w:val="1"/>
    <w:link w:val="33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5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1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3">
    <w:name w:val="Table Grid"/>
    <w:basedOn w:val="12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Hyperlink"/>
    <w:basedOn w:val="14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6">
    <w:name w:val="页眉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paragraph" w:customStyle="1" w:styleId="18">
    <w:name w:val="_Style 10"/>
    <w:basedOn w:val="1"/>
    <w:next w:val="19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9">
    <w:name w:val="List Paragraph"/>
    <w:basedOn w:val="1"/>
    <w:link w:val="34"/>
    <w:autoRedefine/>
    <w:qFormat/>
    <w:uiPriority w:val="99"/>
    <w:pPr>
      <w:ind w:firstLine="420" w:firstLineChars="200"/>
    </w:pPr>
  </w:style>
  <w:style w:type="character" w:customStyle="1" w:styleId="20">
    <w:name w:val="正文文本 Char"/>
    <w:basedOn w:val="14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1">
    <w:name w:val="标题 2 Char"/>
    <w:basedOn w:val="14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2 Char1"/>
    <w:basedOn w:val="14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3">
    <w:name w:val="纯文本 Char"/>
    <w:basedOn w:val="14"/>
    <w:link w:val="6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4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5">
    <w:name w:val="副标题 Char"/>
    <w:basedOn w:val="14"/>
    <w:link w:val="10"/>
    <w:autoRedefine/>
    <w:qFormat/>
    <w:uiPriority w:val="11"/>
    <w:rPr>
      <w:b/>
      <w:bCs/>
      <w:kern w:val="28"/>
      <w:sz w:val="32"/>
      <w:szCs w:val="32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7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8">
    <w:name w:val="标题 1 Char"/>
    <w:basedOn w:val="14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9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0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1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2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3">
    <w:name w:val="批注框文本 Char"/>
    <w:basedOn w:val="14"/>
    <w:link w:val="7"/>
    <w:autoRedefine/>
    <w:semiHidden/>
    <w:qFormat/>
    <w:uiPriority w:val="99"/>
    <w:rPr>
      <w:sz w:val="18"/>
      <w:szCs w:val="18"/>
    </w:rPr>
  </w:style>
  <w:style w:type="character" w:customStyle="1" w:styleId="34">
    <w:name w:val="列出段落 Char"/>
    <w:basedOn w:val="14"/>
    <w:link w:val="19"/>
    <w:autoRedefine/>
    <w:qFormat/>
    <w:uiPriority w:val="34"/>
  </w:style>
  <w:style w:type="paragraph" w:customStyle="1" w:styleId="35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3047</Words>
  <Characters>3462</Characters>
  <Lines>12</Lines>
  <Paragraphs>3</Paragraphs>
  <TotalTime>21</TotalTime>
  <ScaleCrop>false</ScaleCrop>
  <LinksUpToDate>false</LinksUpToDate>
  <CharactersWithSpaces>3816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2025-02-18T04:14:00Z</cp:lastPrinted>
  <dcterms:modified xsi:type="dcterms:W3CDTF">2026-03-20T00:08:22Z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B0A73403C3F14765BCE5B9DDB02B74BC_13</vt:lpwstr>
  </property>
  <property fmtid="{D5CDD505-2E9C-101B-9397-08002B2CF9AE}" pid="4" name="KSOTemplateDocerSaveRecord">
    <vt:lpwstr>eyJoZGlkIjoiMWVlNmI0MmE0NTA0YzQ2ZTA2ZmE1NDY0MzkxMjRhYzMiLCJ1c2VySWQiOiIyNzY2MzA5OTgifQ==</vt:lpwstr>
  </property>
</Properties>
</file>