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A1E3957">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2026FW033</w:t>
      </w:r>
      <w:bookmarkStart w:id="191" w:name="_GoBack"/>
      <w:bookmarkEnd w:id="191"/>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兴龙湖院区教学部快递柜服务</w:t>
      </w: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六</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三</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kern w:val="2"/>
          <w:sz w:val="44"/>
          <w:szCs w:val="44"/>
          <w:lang w:val="en-US" w:eastAsia="zh-CN" w:bidi="ar-SA"/>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sz w:val="44"/>
              <w:szCs w:val="44"/>
            </w:rPr>
          </w:pPr>
          <w:r>
            <w:rPr>
              <w:rFonts w:ascii="宋体" w:hAnsi="宋体" w:eastAsia="宋体"/>
              <w:sz w:val="44"/>
              <w:szCs w:val="44"/>
            </w:rPr>
            <w:t>目录</w:t>
          </w:r>
        </w:p>
        <w:p w14:paraId="790CEC07">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_Toc23588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第一篇  比选邀请书</w:t>
          </w:r>
          <w:r>
            <w:tab/>
          </w:r>
          <w:r>
            <w:fldChar w:fldCharType="begin"/>
          </w:r>
          <w:r>
            <w:instrText xml:space="preserve"> PAGEREF _Toc23588 \h </w:instrText>
          </w:r>
          <w:r>
            <w:fldChar w:fldCharType="separate"/>
          </w:r>
          <w:r>
            <w:t>2</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_Toc25322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第二篇 供应商须知</w:t>
          </w:r>
          <w:r>
            <w:tab/>
          </w:r>
          <w:r>
            <w:fldChar w:fldCharType="begin"/>
          </w:r>
          <w:r>
            <w:instrText xml:space="preserve"> PAGEREF _Toc25322 \h </w:instrText>
          </w:r>
          <w:r>
            <w:fldChar w:fldCharType="separate"/>
          </w:r>
          <w:r>
            <w:t>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_Toc7206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第三篇  项目服务需求</w:t>
          </w:r>
          <w:r>
            <w:tab/>
          </w:r>
          <w:r>
            <w:fldChar w:fldCharType="begin"/>
          </w:r>
          <w:r>
            <w:instrText xml:space="preserve"> PAGEREF _Toc7206 \h </w:instrText>
          </w:r>
          <w:r>
            <w:fldChar w:fldCharType="separate"/>
          </w:r>
          <w:r>
            <w:t>13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_Toc17014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第四篇  项目商务需求</w:t>
          </w:r>
          <w:r>
            <w:tab/>
          </w:r>
          <w:r>
            <w:fldChar w:fldCharType="begin"/>
          </w:r>
          <w:r>
            <w:instrText xml:space="preserve"> PAGEREF _Toc17014 \h </w:instrText>
          </w:r>
          <w:r>
            <w:fldChar w:fldCharType="separate"/>
          </w:r>
          <w:r>
            <w:t>14</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_Toc26989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第五篇  合同草案条款</w:t>
          </w:r>
          <w:r>
            <w:tab/>
          </w:r>
          <w:r>
            <w:fldChar w:fldCharType="begin"/>
          </w:r>
          <w:r>
            <w:instrText xml:space="preserve"> PAGEREF _Toc26989 \h </w:instrText>
          </w:r>
          <w:r>
            <w:fldChar w:fldCharType="separate"/>
          </w:r>
          <w:r>
            <w:t>15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_Toc14085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第六篇  响应文件格式要求</w:t>
          </w:r>
          <w:r>
            <w:tab/>
          </w:r>
          <w:r>
            <w:fldChar w:fldCharType="begin"/>
          </w:r>
          <w:r>
            <w:instrText xml:space="preserve"> PAGEREF _Toc14085 \h </w:instrText>
          </w:r>
          <w:r>
            <w:fldChar w:fldCharType="separate"/>
          </w:r>
          <w:r>
            <w:t>17</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_Toc5685 </w:instrText>
          </w:r>
          <w:r>
            <w:rPr>
              <w:rFonts w:hint="eastAsia" w:ascii="宋体" w:hAnsi="宋体" w:eastAsia="宋体" w:cs="宋体"/>
              <w:szCs w:val="28"/>
              <w:shd w:val="clear" w:color="auto" w:fill="auto"/>
            </w:rPr>
            <w:fldChar w:fldCharType="separate"/>
          </w:r>
          <w:r>
            <w:rPr>
              <w:rFonts w:hint="eastAsia" w:ascii="宋体" w:hAnsi="宋体" w:cs="宋体"/>
              <w:szCs w:val="24"/>
              <w:shd w:val="clear" w:color="auto" w:fill="auto"/>
              <w:lang w:eastAsia="zh-CN"/>
            </w:rPr>
            <w:t>（一）</w:t>
          </w:r>
          <w:r>
            <w:rPr>
              <w:rFonts w:hint="eastAsia" w:ascii="宋体" w:hAnsi="宋体" w:eastAsia="宋体" w:cs="宋体"/>
              <w:szCs w:val="24"/>
              <w:shd w:val="clear" w:color="auto" w:fill="auto"/>
            </w:rPr>
            <w:t>其他应提供的资料</w:t>
          </w:r>
          <w:r>
            <w:tab/>
          </w:r>
          <w:r>
            <w:fldChar w:fldCharType="begin"/>
          </w:r>
          <w:r>
            <w:instrText xml:space="preserve"> PAGEREF _Toc5685 \h </w:instrText>
          </w:r>
          <w:r>
            <w:fldChar w:fldCharType="separate"/>
          </w:r>
          <w:r>
            <w:t>18</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_Toc12908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（二）</w:t>
          </w:r>
          <w:r>
            <w:rPr>
              <w:rFonts w:hint="eastAsia" w:ascii="宋体" w:hAnsi="宋体" w:eastAsia="宋体" w:cs="宋体"/>
              <w:shd w:val="clear" w:color="auto" w:fill="auto"/>
            </w:rPr>
            <w:t>服务部分</w:t>
          </w:r>
          <w:r>
            <w:tab/>
          </w:r>
          <w:r>
            <w:fldChar w:fldCharType="begin"/>
          </w:r>
          <w:r>
            <w:instrText xml:space="preserve"> PAGEREF _Toc12908 \h </w:instrText>
          </w:r>
          <w:r>
            <w:fldChar w:fldCharType="separate"/>
          </w:r>
          <w:r>
            <w:t>21</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_Toc15203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（三）</w:t>
          </w:r>
          <w:r>
            <w:rPr>
              <w:rFonts w:hint="eastAsia" w:ascii="宋体" w:hAnsi="宋体" w:eastAsia="宋体" w:cs="宋体"/>
              <w:shd w:val="clear" w:color="auto" w:fill="auto"/>
            </w:rPr>
            <w:t>商务部分</w:t>
          </w:r>
          <w:r>
            <w:tab/>
          </w:r>
          <w:r>
            <w:fldChar w:fldCharType="begin"/>
          </w:r>
          <w:r>
            <w:instrText xml:space="preserve"> PAGEREF _Toc15203 \h </w:instrText>
          </w:r>
          <w:r>
            <w:fldChar w:fldCharType="separate"/>
          </w:r>
          <w:r>
            <w:t>23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_Toc9941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（四）</w:t>
          </w:r>
          <w:r>
            <w:rPr>
              <w:rFonts w:hint="eastAsia" w:ascii="宋体" w:hAnsi="宋体" w:eastAsia="宋体" w:cs="宋体"/>
              <w:shd w:val="clear" w:color="auto" w:fill="auto"/>
            </w:rPr>
            <w:t>资格条件及其他</w:t>
          </w:r>
          <w:r>
            <w:tab/>
          </w:r>
          <w:r>
            <w:fldChar w:fldCharType="begin"/>
          </w:r>
          <w:r>
            <w:instrText xml:space="preserve"> PAGEREF _Toc9941 \h </w:instrText>
          </w:r>
          <w:r>
            <w:fldChar w:fldCharType="separate"/>
          </w:r>
          <w:r>
            <w:t>26</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25875"/>
      <w:bookmarkStart w:id="1" w:name="_Toc6921"/>
      <w:bookmarkStart w:id="2" w:name="_Toc23588"/>
      <w:bookmarkStart w:id="3" w:name="_Toc12789052"/>
      <w:bookmarkStart w:id="4" w:name="_Toc11641050"/>
      <w:bookmarkStart w:id="5" w:name="_Toc485108766"/>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73860293"/>
      <w:bookmarkStart w:id="7" w:name="_Toc317775178"/>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兴龙湖院区教学部快递柜服务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485108767"/>
      <w:bookmarkStart w:id="9" w:name="_Toc317775175"/>
      <w:bookmarkStart w:id="10" w:name="_Toc313893526"/>
      <w:bookmarkStart w:id="11" w:name="_Toc28443"/>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9"/>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兴龙湖院区教学部快递柜服务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服务期：3年</w:t>
            </w:r>
          </w:p>
        </w:tc>
      </w:tr>
    </w:tbl>
    <w:p w14:paraId="00DB30B5">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485108768"/>
      <w:bookmarkStart w:id="13" w:name="_Toc6609"/>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：自筹资金,项目预算：据实结算。</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11958"/>
      <w:bookmarkStart w:id="17" w:name="_Toc6"/>
      <w:bookmarkStart w:id="18" w:name="_Toc485108774"/>
      <w:bookmarkStart w:id="19" w:name="_Toc102227313"/>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54D434CB">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6"/>
      <w:bookmarkEnd w:id="17"/>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i w:val="0"/>
          <w:iCs w:val="0"/>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w:t>
      </w:r>
      <w:r>
        <w:rPr>
          <w:rFonts w:hint="eastAsia" w:ascii="宋体" w:hAnsi="宋体" w:eastAsia="宋体" w:cs="宋体"/>
          <w:i w:val="0"/>
          <w:iCs w:val="0"/>
          <w:color w:val="000000" w:themeColor="text1"/>
          <w:sz w:val="24"/>
          <w:szCs w:val="24"/>
          <w:shd w:val="clear" w:color="auto" w:fill="auto"/>
          <w:lang w:eastAsia="zh-CN"/>
          <w14:textFill>
            <w14:solidFill>
              <w14:schemeClr w14:val="tx1"/>
            </w14:solidFill>
          </w14:textFill>
        </w:rPr>
        <w:t>大学附属永川医院</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i w:val="0"/>
          <w:iCs w:val="0"/>
          <w:color w:val="000000" w:themeColor="text1"/>
          <w:sz w:val="24"/>
          <w:szCs w:val="24"/>
          <w:shd w:val="clear" w:color="auto" w:fill="auto"/>
          <w14:textFill>
            <w14:solidFill>
              <w14:schemeClr w14:val="tx1"/>
            </w14:solidFill>
          </w14:textFill>
        </w:rPr>
      </w:pPr>
      <w:r>
        <w:rPr>
          <w:rFonts w:hint="eastAsia" w:ascii="宋体" w:hAnsi="宋体" w:eastAsia="宋体" w:cs="宋体"/>
          <w:i w:val="0"/>
          <w:iCs w:val="0"/>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w:t>
      </w:r>
      <w:r>
        <w:rPr>
          <w:rFonts w:hint="eastAsia" w:ascii="宋体" w:hAnsi="宋体" w:eastAsia="宋体" w:cs="宋体"/>
          <w:b/>
          <w:bCs/>
          <w:i w:val="0"/>
          <w:iCs w:val="0"/>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年</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月</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30</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日）</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起</w:t>
      </w:r>
      <w:r>
        <w:rPr>
          <w:rFonts w:hint="eastAsia" w:ascii="宋体" w:hAnsi="宋体" w:eastAsia="宋体" w:cs="宋体"/>
          <w:i w:val="0"/>
          <w:iCs w:val="0"/>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i w:val="0"/>
          <w:iCs w:val="0"/>
          <w:color w:val="000000" w:themeColor="text1"/>
          <w:sz w:val="24"/>
          <w:szCs w:val="24"/>
          <w:shd w:val="clear" w:color="auto" w:fill="auto"/>
          <w14:textFill>
            <w14:solidFill>
              <w14:schemeClr w14:val="tx1"/>
            </w14:solidFill>
          </w14:textFill>
        </w:rPr>
      </w:pPr>
      <w:r>
        <w:rPr>
          <w:rFonts w:hint="eastAsia" w:ascii="宋体" w:hAnsi="宋体" w:eastAsia="宋体" w:cs="宋体"/>
          <w:i w:val="0"/>
          <w:iCs w:val="0"/>
          <w:color w:val="000000" w:themeColor="text1"/>
          <w:sz w:val="24"/>
          <w:szCs w:val="24"/>
          <w:shd w:val="clear" w:color="auto" w:fill="auto"/>
          <w14:textFill>
            <w14:solidFill>
              <w14:schemeClr w14:val="tx1"/>
            </w14:solidFill>
          </w14:textFill>
        </w:rPr>
        <w:t>（</w:t>
      </w:r>
      <w:r>
        <w:rPr>
          <w:rFonts w:hint="eastAsia" w:ascii="宋体" w:hAnsi="宋体" w:eastAsia="宋体" w:cs="宋体"/>
          <w:i w:val="0"/>
          <w:iCs w:val="0"/>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202</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年</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月</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30</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日</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年</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月</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日</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时</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i w:val="0"/>
          <w:iCs w:val="0"/>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i w:val="0"/>
          <w:i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i w:val="0"/>
          <w:iCs w:val="0"/>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5105</w:t>
      </w:r>
      <w:r>
        <w:rPr>
          <w:rFonts w:hint="eastAsia" w:ascii="宋体" w:hAnsi="宋体" w:eastAsia="宋体" w:cs="宋体"/>
          <w:b/>
          <w:bCs/>
          <w:color w:val="000000" w:themeColor="text1"/>
          <w:sz w:val="24"/>
          <w:szCs w:val="24"/>
          <w:shd w:val="clear" w:color="auto" w:fill="auto"/>
          <w14:textFill>
            <w14:solidFill>
              <w14:schemeClr w14:val="tx1"/>
            </w14:solidFill>
          </w14:textFill>
        </w:rPr>
        <w:t>,请一定使用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X</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X</w:t>
      </w:r>
      <w:r>
        <w:rPr>
          <w:rFonts w:hint="eastAsia" w:ascii="宋体" w:hAnsi="宋体" w:eastAsia="宋体" w:cs="宋体"/>
          <w:color w:val="000000" w:themeColor="text1"/>
          <w:sz w:val="24"/>
          <w:szCs w:val="24"/>
          <w:shd w:val="clear" w:color="auto" w:fill="auto"/>
          <w14:textFill>
            <w14:solidFill>
              <w14:schemeClr w14:val="tx1"/>
            </w14:solidFill>
          </w14:textFill>
        </w:rPr>
        <w:t>楼会议室（地址：重庆市永川区萱花路439号）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0"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0"/>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w:t>
      </w:r>
    </w:p>
    <w:p w14:paraId="45DCDA86">
      <w:pPr>
        <w:pStyle w:val="3"/>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373860294"/>
      <w:bookmarkStart w:id="24" w:name="_Toc54171062"/>
      <w:bookmarkStart w:id="25" w:name="_Toc54718176"/>
    </w:p>
    <w:bookmarkEnd w:id="23"/>
    <w:bookmarkEnd w:id="24"/>
    <w:bookmarkEnd w:id="25"/>
    <w:p w14:paraId="1FD6A981">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2806"/>
      <w:bookmarkStart w:id="27" w:name="_Toc1625"/>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4C0800D1">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七、现场踏勘</w:t>
      </w:r>
    </w:p>
    <w:p w14:paraId="7371825E">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（一）各潜在供应商需充分了解现场状况，合理安排施工周期，编制响应文件时需提供施工方案、工期及施工进度表，供应商</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须到</w:t>
      </w:r>
      <w:r>
        <w:rPr>
          <w:rFonts w:hint="eastAsia" w:ascii="宋体" w:hAnsi="宋体" w:eastAsia="宋体" w:cs="宋体"/>
          <w:color w:val="000000" w:themeColor="text1"/>
          <w:sz w:val="24"/>
          <w:szCs w:val="24"/>
          <w:shd w:val="clear" w:color="auto" w:fill="auto"/>
          <w14:textFill>
            <w14:solidFill>
              <w14:schemeClr w14:val="tx1"/>
            </w14:solidFill>
          </w14:textFill>
        </w:rPr>
        <w:t>现场踏勘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工作日内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，无论供应商是否前往现场踏勘，均视为已详细了解现场情况，踏勘现场产生的费用及安全责任由供应商自行负责。供应商踏勘现场时需向医院提供单位介绍信、踏勘现场人员的身份证复印件(身份证原件备查)。</w:t>
      </w:r>
    </w:p>
    <w:p w14:paraId="5A82112C">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9130"/>
      <w:bookmarkStart w:id="29" w:name="_Toc31390"/>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10478"/>
      <w:bookmarkStart w:id="33" w:name="_Toc25322"/>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30999BBA">
      <w:pPr>
        <w:spacing w:line="400" w:lineRule="exact"/>
        <w:ind w:firstLine="480" w:firstLineChars="200"/>
        <w:rPr>
          <w:rFonts w:hint="eastAsia" w:ascii="宋体" w:hAnsi="宋体" w:eastAsia="宋体" w:cs="宋体"/>
          <w:color w:val="FF0000"/>
          <w:kern w:val="2"/>
          <w:sz w:val="24"/>
          <w:szCs w:val="24"/>
          <w:shd w:val="clear" w:color="auto" w:fill="auto"/>
          <w:lang w:val="en-US" w:eastAsia="zh-CN" w:bidi="ar-SA"/>
        </w:rPr>
      </w:pPr>
      <w:r>
        <w:rPr>
          <w:rFonts w:hint="eastAsia" w:ascii="宋体" w:hAnsi="宋体" w:eastAsia="宋体" w:cs="宋体"/>
          <w:color w:val="FF0000"/>
          <w:kern w:val="2"/>
          <w:sz w:val="24"/>
          <w:szCs w:val="24"/>
          <w:shd w:val="clear" w:color="auto" w:fill="auto"/>
          <w:lang w:val="en-US" w:eastAsia="zh-CN" w:bidi="ar-SA"/>
        </w:rPr>
        <w:t>1.服务方</w:t>
      </w:r>
      <w:bookmarkStart w:id="37" w:name="OLE_LINK1"/>
      <w:bookmarkStart w:id="38" w:name="OLE_LINK2"/>
      <w:r>
        <w:rPr>
          <w:rFonts w:hint="eastAsia" w:ascii="宋体" w:hAnsi="宋体" w:eastAsia="宋体" w:cs="宋体"/>
          <w:color w:val="FF0000"/>
          <w:kern w:val="2"/>
          <w:sz w:val="24"/>
          <w:szCs w:val="24"/>
          <w:shd w:val="clear" w:color="auto" w:fill="auto"/>
          <w:lang w:val="en-US" w:eastAsia="zh-CN" w:bidi="ar-SA"/>
        </w:rPr>
        <w:t>根据设备用电功率情况向采购方缴纳电费</w:t>
      </w:r>
      <w:bookmarkEnd w:id="37"/>
      <w:bookmarkEnd w:id="38"/>
      <w:r>
        <w:rPr>
          <w:rFonts w:hint="eastAsia" w:ascii="宋体" w:hAnsi="宋体" w:eastAsia="宋体" w:cs="宋体"/>
          <w:color w:val="FF0000"/>
          <w:kern w:val="2"/>
          <w:sz w:val="24"/>
          <w:szCs w:val="24"/>
          <w:shd w:val="clear" w:color="auto" w:fill="auto"/>
          <w:lang w:val="en-US" w:eastAsia="zh-CN" w:bidi="ar-SA"/>
        </w:rPr>
        <w:t>，服务方应综合考虑各项因素，因自身原因造成自行承担责任，采购方不再补偿。（报价表见第六章）</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9" w:name="OLE_LINK9"/>
      <w:bookmarkStart w:id="40" w:name="OLE_LINK3"/>
      <w:bookmarkStart w:id="41" w:name="OLE_LINK8"/>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9"/>
    <w:bookmarkEnd w:id="40"/>
    <w:bookmarkEnd w:id="41"/>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2" w:name="_Toc403569780"/>
      <w:bookmarkStart w:id="43" w:name="_Toc342913393"/>
      <w:bookmarkStart w:id="44" w:name="_Toc179714298"/>
      <w:bookmarkStart w:id="45" w:name="_Toc18122"/>
      <w:bookmarkStart w:id="46" w:name="_Toc19143"/>
      <w:bookmarkStart w:id="47" w:name="_Toc102227319"/>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2"/>
      <w:bookmarkEnd w:id="43"/>
      <w:bookmarkEnd w:id="44"/>
      <w:bookmarkEnd w:id="45"/>
      <w:bookmarkEnd w:id="46"/>
      <w:bookmarkEnd w:id="47"/>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9"/>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8" w:name="_Toc28776"/>
      <w:bookmarkStart w:id="49" w:name="_Toc403569781"/>
      <w:bookmarkStart w:id="50" w:name="_Toc14247"/>
      <w:bookmarkStart w:id="51" w:name="_Toc102227320"/>
      <w:bookmarkStart w:id="52"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8"/>
      <w:bookmarkEnd w:id="49"/>
      <w:bookmarkEnd w:id="50"/>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3" w:name="_Toc29340"/>
      <w:bookmarkStart w:id="54" w:name="_Toc14816"/>
      <w:bookmarkStart w:id="55" w:name="_Toc403569782"/>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51"/>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2"/>
      <w:bookmarkEnd w:id="53"/>
      <w:bookmarkEnd w:id="54"/>
      <w:bookmarkEnd w:id="55"/>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1.评审小组将依照本比选文件相关规定对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均能满足比选实质性响应要求的供应商所提交的最后报</w:t>
      </w:r>
      <w:r>
        <w:rPr>
          <w:rFonts w:hint="eastAsia" w:ascii="宋体" w:hAnsi="宋体" w:eastAsia="宋体" w:cs="宋体"/>
          <w:color w:val="FF0000"/>
          <w:sz w:val="24"/>
          <w:szCs w:val="24"/>
          <w:shd w:val="clear" w:color="auto" w:fill="auto"/>
        </w:rPr>
        <w:t>价由</w:t>
      </w:r>
      <w:r>
        <w:rPr>
          <w:rFonts w:hint="eastAsia" w:ascii="宋体" w:hAnsi="宋体" w:eastAsia="宋体" w:cs="宋体"/>
          <w:color w:val="FF0000"/>
          <w:sz w:val="24"/>
          <w:szCs w:val="24"/>
          <w:shd w:val="clear" w:color="auto" w:fill="auto"/>
          <w:lang w:eastAsia="zh-CN"/>
        </w:rPr>
        <w:t>高</w:t>
      </w:r>
      <w:r>
        <w:rPr>
          <w:rFonts w:hint="eastAsia" w:ascii="宋体" w:hAnsi="宋体" w:eastAsia="宋体" w:cs="宋体"/>
          <w:color w:val="FF0000"/>
          <w:sz w:val="24"/>
          <w:szCs w:val="24"/>
          <w:shd w:val="clear" w:color="auto" w:fill="auto"/>
        </w:rPr>
        <w:t>到</w:t>
      </w:r>
      <w:r>
        <w:rPr>
          <w:rFonts w:hint="eastAsia" w:ascii="宋体" w:hAnsi="宋体" w:eastAsia="宋体" w:cs="宋体"/>
          <w:color w:val="FF0000"/>
          <w:sz w:val="24"/>
          <w:szCs w:val="24"/>
          <w:shd w:val="clear" w:color="auto" w:fill="auto"/>
          <w:lang w:eastAsia="zh-CN"/>
        </w:rPr>
        <w:t>低</w:t>
      </w:r>
      <w:r>
        <w:rPr>
          <w:rFonts w:hint="eastAsia" w:ascii="宋体" w:hAnsi="宋体" w:eastAsia="宋体" w:cs="宋体"/>
          <w:color w:val="FF0000"/>
          <w:sz w:val="24"/>
          <w:szCs w:val="24"/>
          <w:shd w:val="clear" w:color="auto" w:fill="auto"/>
        </w:rPr>
        <w:t>的顺序</w:t>
      </w:r>
      <w:r>
        <w:rPr>
          <w:rFonts w:hint="eastAsia" w:ascii="宋体" w:hAnsi="宋体" w:eastAsia="宋体" w:cs="宋体"/>
          <w:color w:val="000000" w:themeColor="text1"/>
          <w:sz w:val="24"/>
          <w:szCs w:val="24"/>
          <w:shd w:val="clear" w:color="auto" w:fill="auto"/>
          <w14:textFill>
            <w14:solidFill>
              <w14:schemeClr w14:val="tx1"/>
            </w14:solidFill>
          </w14:textFill>
        </w:rPr>
        <w:t>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w:t>
      </w:r>
      <w:r>
        <w:rPr>
          <w:rFonts w:hint="eastAsia" w:ascii="宋体" w:hAnsi="宋体" w:eastAsia="宋体" w:cs="宋体"/>
          <w:color w:val="FF0000"/>
          <w:sz w:val="24"/>
          <w:szCs w:val="24"/>
          <w:shd w:val="clear" w:color="auto" w:fill="auto"/>
          <w:lang w:eastAsia="zh-CN"/>
        </w:rPr>
        <w:t>高</w:t>
      </w:r>
      <w:r>
        <w:rPr>
          <w:rFonts w:hint="eastAsia" w:ascii="宋体" w:hAnsi="宋体" w:eastAsia="宋体" w:cs="宋体"/>
          <w:color w:val="000000" w:themeColor="text1"/>
          <w:sz w:val="24"/>
          <w:szCs w:val="24"/>
          <w:shd w:val="clear" w:color="auto" w:fill="auto"/>
          <w14:textFill>
            <w14:solidFill>
              <w14:schemeClr w14:val="tx1"/>
            </w14:solidFill>
          </w14:textFill>
        </w:rPr>
        <w:t>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6" w:name="_Toc7135"/>
      <w:bookmarkStart w:id="57" w:name="_Toc403569783"/>
      <w:bookmarkStart w:id="58" w:name="_Toc342913395"/>
      <w:bookmarkStart w:id="59" w:name="_Toc3212"/>
      <w:bookmarkStart w:id="60" w:name="_Toc102227321"/>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6"/>
      <w:bookmarkEnd w:id="57"/>
      <w:bookmarkEnd w:id="58"/>
      <w:bookmarkEnd w:id="59"/>
      <w:bookmarkEnd w:id="60"/>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1" w:name="_Toc12880"/>
      <w:bookmarkStart w:id="62" w:name="_Toc17413"/>
      <w:bookmarkStart w:id="63" w:name="_Toc403569784"/>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61"/>
      <w:bookmarkEnd w:id="62"/>
      <w:bookmarkEnd w:id="63"/>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4" w:name="_Toc102227322"/>
      <w:bookmarkStart w:id="65" w:name="_Toc342913396"/>
      <w:bookmarkStart w:id="66" w:name="_Toc403569785"/>
      <w:bookmarkStart w:id="67" w:name="_Toc6381"/>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8"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4"/>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5"/>
      <w:bookmarkEnd w:id="66"/>
      <w:bookmarkEnd w:id="67"/>
      <w:bookmarkEnd w:id="68"/>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2079B7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426E7F12">
      <w:pPr>
        <w:keepNext/>
        <w:widowControl w:val="0"/>
        <w:snapToGrid w:val="0"/>
        <w:spacing w:line="360" w:lineRule="atLeast"/>
        <w:jc w:val="both"/>
        <w:outlineLvl w:val="9"/>
        <w:rPr>
          <w:rFonts w:hint="eastAsia" w:ascii="宋体" w:hAnsi="宋体" w:eastAsia="宋体" w:cs="宋体"/>
          <w:b/>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9" w:name="_Toc11770"/>
      <w:bookmarkStart w:id="70" w:name="_Toc485108784"/>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71" w:name="_Toc7206"/>
      <w:bookmarkStart w:id="72" w:name="_Toc26684"/>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9"/>
      <w:bookmarkEnd w:id="70"/>
      <w:bookmarkEnd w:id="71"/>
      <w:bookmarkEnd w:id="72"/>
    </w:p>
    <w:p w14:paraId="53EC4B1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73" w:name="_Toc28327"/>
      <w:bookmarkStart w:id="74" w:name="_Toc12789058"/>
      <w:bookmarkStart w:id="75" w:name="_Toc485108787"/>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、服务要求</w:t>
      </w:r>
    </w:p>
    <w:p w14:paraId="2F38189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1.投放地点：兴龙湖院区教学部。</w:t>
      </w:r>
    </w:p>
    <w:p w14:paraId="6B4A641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2.投放数量：5台。</w:t>
      </w:r>
    </w:p>
    <w:p w14:paraId="0A5F015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3.基本要求：</w:t>
      </w:r>
    </w:p>
    <w:p w14:paraId="2520714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（1）快递柜应提供24小时自助取件和寄件服务，可以通过短信验证码或扫码等方式取包裹，确保师生及时收到取件信息。</w:t>
      </w:r>
    </w:p>
    <w:p w14:paraId="332597B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（2）支持微信等多种支付方式。</w:t>
      </w:r>
    </w:p>
    <w:p w14:paraId="6FF0C3B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（3）快递柜支持多人同时在线取件，避免高峰期拥挤，提高取件效率‌。</w:t>
      </w:r>
    </w:p>
    <w:p w14:paraId="1D6DAF8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.服务方负责快递柜设备设施的建设、安装和日常的维护管理工作。</w:t>
      </w:r>
    </w:p>
    <w:p w14:paraId="3BBC935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服务方对各家快递物流电商公司进行统一、标准、规范、安全的管理，授权各家使用智能快递柜自助投递服务，并对各家快递物流电商公司进行管理和培训。为师生提供更加安全、便捷、人性化的智能服务，改善校园周边快递乱象的同时，提升校园安全。 </w:t>
      </w:r>
    </w:p>
    <w:p w14:paraId="0F8CBA6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.服务方遵守国家有关法律法规以及采购方的各种规章制度，独立承担一切民事、刑事及行政法律责任。 </w:t>
      </w:r>
    </w:p>
    <w:p w14:paraId="13D7287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.服务方应承诺并保证在履行合同及相关工作的过程中，均不违反任何法律法规、不侵犯任何第三人权利、不存在任何权利瑕疵、不出现任何安全事故，否则服务方自行承担由此造成的全部责任。</w:t>
      </w:r>
    </w:p>
    <w:p w14:paraId="791860D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.服务方有对校内师生个人信息保密的义务，一旦发生重大泄密事件，服务方应无条件配合采购方查找原因。因服务方原因造成的泄密，采购方有权按相关法律法规追究服务方责任。 </w:t>
      </w:r>
    </w:p>
    <w:p w14:paraId="70491C9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 快递柜必须是合格产品，质量要求达到国家规范和安全标准，性能稳定、安全可靠。快递柜机身及扫码后不能出现引起误解的广告、推销等信息。</w:t>
      </w:r>
    </w:p>
    <w:p w14:paraId="5A1982E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.服务方应确定专门的项目负责人与采购方保持联系，随时解决各类问题。</w:t>
      </w:r>
    </w:p>
    <w:p w14:paraId="36524D4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11</w:t>
      </w:r>
      <w:r>
        <w:rPr>
          <w:rFonts w:hint="eastAsia" w:ascii="宋体" w:hAnsi="宋体" w:eastAsia="宋体" w:cs="宋体"/>
          <w:color w:val="000000" w:themeColor="text1"/>
          <w:sz w:val="24"/>
          <w:szCs w:val="24"/>
          <w:shd w:val="clear" w:color="auto" w:fill="auto"/>
          <w14:textFill>
            <w14:solidFill>
              <w14:schemeClr w14:val="tx1"/>
            </w14:solidFill>
          </w14:textFill>
        </w:rPr>
        <w:t>.服务方需配合学校重大活动、重要会议等时间安排，遵守学校相关职能部门的要求。</w:t>
      </w:r>
    </w:p>
    <w:p w14:paraId="2E6FFB7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12</w:t>
      </w:r>
      <w:r>
        <w:rPr>
          <w:rFonts w:hint="eastAsia" w:ascii="宋体" w:hAnsi="宋体" w:eastAsia="宋体" w:cs="宋体"/>
          <w:color w:val="000000" w:themeColor="text1"/>
          <w:sz w:val="24"/>
          <w:szCs w:val="24"/>
          <w:shd w:val="clear" w:color="auto" w:fill="auto"/>
          <w14:textFill>
            <w14:solidFill>
              <w14:schemeClr w14:val="tx1"/>
            </w14:solidFill>
          </w14:textFill>
        </w:rPr>
        <w:t>.合同期满，服务方应如期退出场地，并保证场所的清洁、完整和可使用状态。不得留存物品或影响场地的正常使用。对未经同意留存的物品，采购方有权处理。</w:t>
      </w:r>
    </w:p>
    <w:p w14:paraId="406156B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.服务方须按国家有关规定与聘用员工签订劳动协议，并办理相关社会保险。如发生用工、劳动或其它纠纷，采购方不承担任何责任，由服务方承担全部责任及经济补偿。</w:t>
      </w:r>
    </w:p>
    <w:p w14:paraId="4BCCEFE4">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p>
    <w:p w14:paraId="56675ECA">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0EBC5D8B">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2C58BC36">
      <w:pPr>
        <w:rPr>
          <w:rFonts w:hint="eastAsia" w:ascii="宋体" w:hAnsi="宋体" w:eastAsia="宋体" w:cs="宋体"/>
          <w:b/>
          <w:color w:val="000000" w:themeColor="text1"/>
          <w:sz w:val="36"/>
          <w:szCs w:val="36"/>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br w:type="page"/>
      </w:r>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bookmarkStart w:id="76" w:name="_Toc17014"/>
      <w:bookmarkStart w:id="77" w:name="_Toc4364"/>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3"/>
      <w:bookmarkEnd w:id="74"/>
      <w:bookmarkEnd w:id="75"/>
      <w:bookmarkEnd w:id="76"/>
      <w:bookmarkEnd w:id="77"/>
      <w:bookmarkStart w:id="78" w:name="_Toc11641055"/>
      <w:bookmarkStart w:id="79" w:name="_Toc12789059"/>
    </w:p>
    <w:p w14:paraId="5642FEE9">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80" w:name="_Toc11645"/>
      <w:bookmarkStart w:id="81" w:name="_Toc7358"/>
      <w:bookmarkStart w:id="82" w:name="_Toc485108793"/>
      <w:bookmarkStart w:id="83" w:name="_Toc403569795"/>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5B648DC5">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1.合同期限：3年。</w:t>
      </w:r>
    </w:p>
    <w:p w14:paraId="7C010709">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2.报价要求：服务方根据设备用电功率情况向采购方缴纳电费，服务方应综合考虑各项因素，因自身原因造成自行承担责任，采购方不再补偿。报价表见附件。</w:t>
      </w:r>
    </w:p>
    <w:p w14:paraId="78F4B916">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3.付款方式：电费按年度缴纳，服务方在签订合同后15日内缴纳第一年电费，服务方应在每年12月15日前缴纳下一年电费，费用根据投放数量据实结算。</w:t>
      </w:r>
    </w:p>
    <w:p w14:paraId="6216FD0C">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4.售后服务：服务方开通24小时客服热线，如在服务过程出现任何客户投诉事宜或设备故障事宜，拔打客服热线，服务方保证在24小时内安排专人处理相关事宜。</w:t>
      </w:r>
    </w:p>
    <w:p w14:paraId="5235ADB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80"/>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81"/>
      <w:bookmarkEnd w:id="82"/>
      <w:bookmarkEnd w:id="83"/>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8"/>
      <w:bookmarkEnd w:id="79"/>
      <w:bookmarkStart w:id="84" w:name="_Toc485108794"/>
      <w:bookmarkStart w:id="85" w:name="_Toc26989"/>
      <w:bookmarkStart w:id="86" w:name="_Toc14840"/>
      <w:bookmarkStart w:id="87" w:name="_Toc15711"/>
      <w:bookmarkStart w:id="88" w:name="_Toc403569796"/>
      <w:bookmarkStart w:id="89" w:name="_Toc303945820"/>
      <w:bookmarkStart w:id="90"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4"/>
      <w:bookmarkEnd w:id="85"/>
      <w:bookmarkEnd w:id="86"/>
      <w:bookmarkEnd w:id="87"/>
      <w:bookmarkEnd w:id="88"/>
    </w:p>
    <w:p w14:paraId="5E46A35E">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54718202"/>
      <w:bookmarkStart w:id="92" w:name="_Toc30815"/>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91"/>
      <w:bookmarkEnd w:id="92"/>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3"/>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4"/>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5"/>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6"/>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7"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7"/>
    </w:p>
    <w:p w14:paraId="484E102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17879"/>
      <w:bookmarkStart w:id="99" w:name="_Toc54718203"/>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8"/>
      <w:bookmarkEnd w:id="99"/>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0"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100"/>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1" w:name="_Toc8853"/>
      <w:bookmarkStart w:id="102" w:name="_Toc54718204"/>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101"/>
      <w:bookmarkEnd w:id="102"/>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3" w:name="_Toc25177"/>
      <w:bookmarkStart w:id="104"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3"/>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5"/>
    </w:p>
    <w:p w14:paraId="16BE7E9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4"/>
      <w:bookmarkEnd w:id="106"/>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7"/>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8"/>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9"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9"/>
    </w:p>
    <w:p w14:paraId="0E692A8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0" w:name="_Toc54718206"/>
      <w:bookmarkStart w:id="111" w:name="_Toc2241"/>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10"/>
      <w:bookmarkEnd w:id="111"/>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2" w:name="_Toc12985"/>
      <w:bookmarkStart w:id="113"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2"/>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3"/>
    </w:p>
    <w:p w14:paraId="318F8000">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4" w:name="_Toc9053"/>
      <w:bookmarkStart w:id="115" w:name="_Toc54718207"/>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4"/>
      <w:bookmarkEnd w:id="115"/>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6"/>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7"/>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8"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8"/>
    </w:p>
    <w:p w14:paraId="0105B42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11586"/>
      <w:bookmarkStart w:id="120" w:name="_Toc54718211"/>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9"/>
      <w:bookmarkEnd w:id="120"/>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1"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21"/>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2"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2"/>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3" w:name="_Toc31719"/>
      <w:bookmarkStart w:id="124" w:name="_Toc54718210"/>
      <w:bookmarkStart w:id="125" w:name="_Toc26580"/>
      <w:bookmarkStart w:id="126" w:name="_Toc54718212"/>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3"/>
      <w:bookmarkEnd w:id="124"/>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7"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7"/>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8"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8"/>
    </w:p>
    <w:p w14:paraId="7F490E8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5"/>
      <w:bookmarkEnd w:id="126"/>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9"/>
      <w:bookmarkEnd w:id="130"/>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31"/>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2"/>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3"/>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4"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4"/>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5"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5"/>
    </w:p>
    <w:bookmarkEnd w:id="89"/>
    <w:bookmarkEnd w:id="90"/>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6" w:name="_Hlt41879464"/>
      <w:bookmarkEnd w:id="136"/>
      <w:bookmarkStart w:id="137" w:name="_Toc29521"/>
      <w:bookmarkStart w:id="138" w:name="_Toc12789072"/>
      <w:bookmarkStart w:id="139" w:name="_Toc13696"/>
      <w:bookmarkStart w:id="140" w:name="_Toc485108795"/>
      <w:bookmarkStart w:id="141" w:name="_Toc14085"/>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7"/>
      <w:bookmarkEnd w:id="138"/>
      <w:bookmarkEnd w:id="139"/>
      <w:bookmarkEnd w:id="140"/>
      <w:bookmarkEnd w:id="141"/>
    </w:p>
    <w:p w14:paraId="3475141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2"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2"/>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3"/>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4"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4"/>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5" w:name="_Toc38358147"/>
      <w:bookmarkStart w:id="146" w:name="OLE_LINK11"/>
      <w:bookmarkStart w:id="147"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5"/>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8"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8"/>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49" w:name="_Toc5685"/>
      <w:bookmarkStart w:id="150" w:name="_Toc19884"/>
      <w:bookmarkStart w:id="151" w:name="_Toc21293"/>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9"/>
      <w:bookmarkEnd w:id="150"/>
      <w:bookmarkEnd w:id="151"/>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2"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2"/>
    </w:p>
    <w:bookmarkEnd w:id="146"/>
    <w:bookmarkEnd w:id="147"/>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3" w:name="_Toc313008356"/>
      <w:bookmarkStart w:id="154" w:name="_Toc342913419"/>
      <w:bookmarkStart w:id="155" w:name="_Toc5565"/>
      <w:bookmarkStart w:id="156" w:name="_Toc485108796"/>
      <w:bookmarkStart w:id="157" w:name="_Toc480979018"/>
      <w:bookmarkStart w:id="158" w:name="_Toc313888360"/>
      <w:bookmarkStart w:id="159" w:name="_Toc283382454"/>
      <w:bookmarkStart w:id="160" w:name="_Toc12789073"/>
      <w:r>
        <w:rPr>
          <w:rFonts w:hint="eastAsia" w:ascii="宋体" w:hAnsi="宋体" w:eastAsia="宋体" w:cs="宋体"/>
          <w:b/>
          <w:color w:val="000000" w:themeColor="text1"/>
          <w:shd w:val="clear" w:color="auto" w:fill="auto"/>
          <w14:textFill>
            <w14:solidFill>
              <w14:schemeClr w14:val="tx1"/>
            </w14:solidFill>
          </w14:textFill>
        </w:rPr>
        <w:t>经济部分</w:t>
      </w:r>
      <w:bookmarkEnd w:id="153"/>
      <w:bookmarkEnd w:id="154"/>
      <w:bookmarkEnd w:id="155"/>
      <w:bookmarkEnd w:id="156"/>
      <w:bookmarkEnd w:id="157"/>
      <w:bookmarkEnd w:id="158"/>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59"/>
    <w:bookmarkEnd w:id="160"/>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00E117D4">
      <w:pPr>
        <w:pStyle w:val="52"/>
        <w:spacing w:before="0" w:beforeAutospacing="0" w:after="0" w:afterAutospacing="0" w:line="480" w:lineRule="exact"/>
        <w:jc w:val="center"/>
        <w:rPr>
          <w:rFonts w:ascii="仿宋" w:hAnsi="仿宋" w:eastAsia="仿宋" w:cs="仿宋"/>
          <w:kern w:val="2"/>
          <w:sz w:val="28"/>
          <w:szCs w:val="28"/>
        </w:rPr>
      </w:pPr>
      <w:bookmarkStart w:id="161" w:name="_Toc342913420"/>
      <w:bookmarkStart w:id="162" w:name="_Toc485108797"/>
      <w:bookmarkStart w:id="163" w:name="_Toc480979019"/>
      <w:bookmarkStart w:id="164" w:name="_Toc313008357"/>
      <w:bookmarkStart w:id="165" w:name="_Toc313888361"/>
      <w:r>
        <w:rPr>
          <w:rFonts w:hint="eastAsia" w:ascii="仿宋" w:hAnsi="仿宋" w:eastAsia="仿宋" w:cs="仿宋"/>
          <w:kern w:val="2"/>
          <w:sz w:val="28"/>
          <w:szCs w:val="28"/>
        </w:rPr>
        <w:t>报 价 表</w:t>
      </w:r>
    </w:p>
    <w:p w14:paraId="756C077F">
      <w:pPr>
        <w:pStyle w:val="52"/>
        <w:spacing w:before="0" w:beforeAutospacing="0" w:after="0" w:afterAutospacing="0" w:line="480" w:lineRule="exact"/>
        <w:jc w:val="center"/>
        <w:rPr>
          <w:rFonts w:ascii="仿宋" w:hAnsi="仿宋" w:eastAsia="仿宋" w:cs="仿宋"/>
          <w:kern w:val="2"/>
          <w:sz w:val="28"/>
          <w:szCs w:val="28"/>
        </w:rPr>
      </w:pPr>
    </w:p>
    <w:tbl>
      <w:tblPr>
        <w:tblStyle w:val="59"/>
        <w:tblpPr w:leftFromText="180" w:rightFromText="180" w:vertAnchor="text" w:horzAnchor="page" w:tblpXSpec="center" w:tblpY="48"/>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1341"/>
        <w:gridCol w:w="1330"/>
        <w:gridCol w:w="2071"/>
        <w:gridCol w:w="936"/>
        <w:gridCol w:w="1163"/>
        <w:gridCol w:w="1163"/>
        <w:gridCol w:w="1163"/>
      </w:tblGrid>
      <w:tr w14:paraId="7AEEA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246" w:type="pct"/>
            <w:tcBorders>
              <w:top w:val="single" w:color="auto" w:sz="4" w:space="0"/>
              <w:left w:val="single" w:color="auto" w:sz="4" w:space="0"/>
              <w:bottom w:val="single" w:color="auto" w:sz="4" w:space="0"/>
              <w:right w:val="single" w:color="auto" w:sz="4" w:space="0"/>
            </w:tcBorders>
            <w:vAlign w:val="center"/>
          </w:tcPr>
          <w:p w14:paraId="01BE5862">
            <w:pPr>
              <w:jc w:val="center"/>
              <w:rPr>
                <w:rFonts w:ascii="仿宋" w:hAnsi="仿宋" w:eastAsia="仿宋" w:cs="仿宋"/>
                <w:sz w:val="24"/>
                <w:szCs w:val="24"/>
              </w:rPr>
            </w:pPr>
            <w:r>
              <w:rPr>
                <w:rFonts w:hint="eastAsia" w:ascii="仿宋" w:hAnsi="仿宋" w:eastAsia="仿宋" w:cs="仿宋"/>
                <w:sz w:val="24"/>
                <w:szCs w:val="24"/>
              </w:rPr>
              <w:t>序号</w:t>
            </w:r>
          </w:p>
        </w:tc>
        <w:tc>
          <w:tcPr>
            <w:tcW w:w="705" w:type="pct"/>
            <w:tcBorders>
              <w:top w:val="single" w:color="auto" w:sz="4" w:space="0"/>
              <w:left w:val="single" w:color="auto" w:sz="4" w:space="0"/>
              <w:bottom w:val="single" w:color="auto" w:sz="4" w:space="0"/>
              <w:right w:val="single" w:color="auto" w:sz="4" w:space="0"/>
            </w:tcBorders>
            <w:vAlign w:val="center"/>
          </w:tcPr>
          <w:p w14:paraId="45EB0667">
            <w:pPr>
              <w:jc w:val="center"/>
              <w:rPr>
                <w:rFonts w:ascii="仿宋" w:hAnsi="仿宋" w:eastAsia="仿宋" w:cs="仿宋"/>
                <w:sz w:val="24"/>
                <w:szCs w:val="24"/>
              </w:rPr>
            </w:pPr>
            <w:r>
              <w:rPr>
                <w:rFonts w:hint="eastAsia" w:ascii="仿宋" w:hAnsi="仿宋" w:eastAsia="仿宋" w:cs="仿宋"/>
                <w:sz w:val="24"/>
                <w:szCs w:val="24"/>
              </w:rPr>
              <w:t>位置</w:t>
            </w:r>
          </w:p>
        </w:tc>
        <w:tc>
          <w:tcPr>
            <w:tcW w:w="699" w:type="pct"/>
            <w:tcBorders>
              <w:top w:val="single" w:color="auto" w:sz="4" w:space="0"/>
              <w:left w:val="single" w:color="auto" w:sz="4" w:space="0"/>
              <w:bottom w:val="single" w:color="auto" w:sz="4" w:space="0"/>
              <w:right w:val="single" w:color="auto" w:sz="4" w:space="0"/>
            </w:tcBorders>
            <w:vAlign w:val="center"/>
          </w:tcPr>
          <w:p w14:paraId="5A8CDE7E">
            <w:pPr>
              <w:jc w:val="center"/>
              <w:rPr>
                <w:rFonts w:ascii="仿宋" w:hAnsi="仿宋" w:eastAsia="仿宋" w:cs="仿宋"/>
                <w:sz w:val="24"/>
                <w:szCs w:val="24"/>
              </w:rPr>
            </w:pPr>
            <w:r>
              <w:rPr>
                <w:rFonts w:hint="eastAsia" w:ascii="仿宋" w:hAnsi="仿宋" w:eastAsia="仿宋" w:cs="仿宋"/>
                <w:sz w:val="24"/>
                <w:szCs w:val="24"/>
              </w:rPr>
              <w:t>数量</w:t>
            </w:r>
          </w:p>
          <w:p w14:paraId="20909614">
            <w:pPr>
              <w:jc w:val="center"/>
              <w:rPr>
                <w:rFonts w:ascii="仿宋" w:hAnsi="仿宋" w:eastAsia="仿宋" w:cs="仿宋"/>
                <w:sz w:val="24"/>
                <w:szCs w:val="24"/>
              </w:rPr>
            </w:pPr>
            <w:r>
              <w:rPr>
                <w:rFonts w:hint="eastAsia" w:ascii="仿宋" w:hAnsi="仿宋" w:eastAsia="仿宋" w:cs="仿宋"/>
                <w:sz w:val="24"/>
                <w:szCs w:val="24"/>
              </w:rPr>
              <w:t>（组/平方米）</w:t>
            </w:r>
          </w:p>
        </w:tc>
        <w:tc>
          <w:tcPr>
            <w:tcW w:w="1083" w:type="pct"/>
            <w:tcBorders>
              <w:top w:val="single" w:color="auto" w:sz="4" w:space="0"/>
              <w:left w:val="single" w:color="auto" w:sz="4" w:space="0"/>
              <w:bottom w:val="single" w:color="auto" w:sz="4" w:space="0"/>
              <w:right w:val="single" w:color="auto" w:sz="4" w:space="0"/>
            </w:tcBorders>
            <w:vAlign w:val="center"/>
          </w:tcPr>
          <w:p w14:paraId="1CC0F4F5">
            <w:pPr>
              <w:jc w:val="center"/>
              <w:rPr>
                <w:rFonts w:ascii="仿宋" w:hAnsi="仿宋" w:eastAsia="仿宋" w:cs="仿宋"/>
                <w:sz w:val="24"/>
                <w:szCs w:val="24"/>
              </w:rPr>
            </w:pPr>
            <w:r>
              <w:rPr>
                <w:rFonts w:hint="eastAsia" w:ascii="仿宋" w:hAnsi="仿宋" w:eastAsia="仿宋" w:cs="仿宋"/>
                <w:sz w:val="24"/>
                <w:szCs w:val="24"/>
              </w:rPr>
              <w:t>每组柜体尺寸</w:t>
            </w:r>
          </w:p>
          <w:p w14:paraId="114CE3C5">
            <w:pPr>
              <w:jc w:val="center"/>
              <w:rPr>
                <w:rFonts w:ascii="仿宋" w:hAnsi="仿宋" w:eastAsia="仿宋" w:cs="仿宋"/>
                <w:sz w:val="24"/>
                <w:szCs w:val="24"/>
              </w:rPr>
            </w:pPr>
            <w:r>
              <w:rPr>
                <w:rFonts w:hint="eastAsia" w:ascii="仿宋" w:hAnsi="仿宋" w:eastAsia="仿宋" w:cs="仿宋"/>
                <w:sz w:val="24"/>
                <w:szCs w:val="24"/>
              </w:rPr>
              <w:t>（长宽高/cm）</w:t>
            </w:r>
          </w:p>
          <w:p w14:paraId="48A9654A">
            <w:pPr>
              <w:jc w:val="center"/>
              <w:rPr>
                <w:rFonts w:ascii="仿宋" w:hAnsi="仿宋" w:eastAsia="仿宋" w:cs="仿宋"/>
                <w:sz w:val="24"/>
                <w:szCs w:val="24"/>
              </w:rPr>
            </w:pPr>
            <w:r>
              <w:rPr>
                <w:rFonts w:hint="eastAsia" w:ascii="仿宋" w:hAnsi="仿宋" w:eastAsia="仿宋" w:cs="仿宋"/>
                <w:sz w:val="24"/>
                <w:szCs w:val="24"/>
              </w:rPr>
              <w:t>（偏差±20cm）</w:t>
            </w:r>
          </w:p>
        </w:tc>
        <w:tc>
          <w:tcPr>
            <w:tcW w:w="426" w:type="pct"/>
            <w:tcBorders>
              <w:top w:val="single" w:color="auto" w:sz="4" w:space="0"/>
              <w:left w:val="single" w:color="auto" w:sz="4" w:space="0"/>
              <w:bottom w:val="single" w:color="auto" w:sz="4" w:space="0"/>
              <w:right w:val="single" w:color="auto" w:sz="4" w:space="0"/>
            </w:tcBorders>
            <w:vAlign w:val="center"/>
          </w:tcPr>
          <w:p w14:paraId="356F4628">
            <w:pPr>
              <w:jc w:val="center"/>
              <w:rPr>
                <w:rFonts w:ascii="仿宋" w:hAnsi="仿宋" w:eastAsia="仿宋" w:cs="仿宋"/>
                <w:sz w:val="24"/>
                <w:szCs w:val="24"/>
              </w:rPr>
            </w:pPr>
            <w:r>
              <w:rPr>
                <w:rFonts w:hint="eastAsia" w:ascii="仿宋" w:hAnsi="仿宋" w:eastAsia="仿宋" w:cs="仿宋"/>
                <w:sz w:val="24"/>
                <w:szCs w:val="24"/>
              </w:rPr>
              <w:t>数 量</w:t>
            </w:r>
          </w:p>
          <w:p w14:paraId="636F6ACF">
            <w:pPr>
              <w:jc w:val="center"/>
              <w:rPr>
                <w:rFonts w:ascii="仿宋" w:hAnsi="仿宋" w:eastAsia="仿宋" w:cs="仿宋"/>
                <w:sz w:val="24"/>
                <w:szCs w:val="24"/>
              </w:rPr>
            </w:pPr>
            <w:r>
              <w:rPr>
                <w:rFonts w:hint="eastAsia" w:ascii="仿宋" w:hAnsi="仿宋" w:eastAsia="仿宋" w:cs="仿宋"/>
                <w:sz w:val="24"/>
                <w:szCs w:val="24"/>
              </w:rPr>
              <w:t>（组）</w:t>
            </w:r>
          </w:p>
        </w:tc>
        <w:tc>
          <w:tcPr>
            <w:tcW w:w="612" w:type="pct"/>
            <w:tcBorders>
              <w:top w:val="single" w:color="auto" w:sz="4" w:space="0"/>
              <w:left w:val="single" w:color="auto" w:sz="4" w:space="0"/>
              <w:bottom w:val="single" w:color="auto" w:sz="4" w:space="0"/>
              <w:right w:val="single" w:color="auto" w:sz="4" w:space="0"/>
            </w:tcBorders>
            <w:vAlign w:val="center"/>
          </w:tcPr>
          <w:p w14:paraId="3371FE61">
            <w:pPr>
              <w:jc w:val="center"/>
              <w:rPr>
                <w:rFonts w:ascii="仿宋" w:hAnsi="仿宋" w:eastAsia="仿宋" w:cs="仿宋"/>
                <w:sz w:val="24"/>
                <w:szCs w:val="24"/>
              </w:rPr>
            </w:pPr>
            <w:r>
              <w:rPr>
                <w:rFonts w:hint="eastAsia" w:ascii="仿宋" w:hAnsi="仿宋" w:eastAsia="仿宋" w:cs="仿宋"/>
                <w:sz w:val="24"/>
                <w:szCs w:val="24"/>
              </w:rPr>
              <w:t>最低限价</w:t>
            </w:r>
          </w:p>
          <w:p w14:paraId="4DF533F9">
            <w:pPr>
              <w:jc w:val="center"/>
              <w:rPr>
                <w:rFonts w:ascii="仿宋" w:hAnsi="仿宋" w:eastAsia="仿宋" w:cs="仿宋"/>
                <w:sz w:val="24"/>
                <w:szCs w:val="24"/>
              </w:rPr>
            </w:pPr>
            <w:r>
              <w:rPr>
                <w:rFonts w:hint="eastAsia" w:ascii="仿宋" w:hAnsi="仿宋" w:eastAsia="仿宋" w:cs="仿宋"/>
                <w:sz w:val="24"/>
                <w:szCs w:val="24"/>
              </w:rPr>
              <w:t>（元/</w:t>
            </w:r>
            <w:r>
              <w:rPr>
                <w:rFonts w:hint="eastAsia" w:ascii="仿宋" w:hAnsi="仿宋" w:eastAsia="仿宋" w:cs="仿宋"/>
                <w:sz w:val="24"/>
                <w:szCs w:val="24"/>
                <w:lang w:eastAsia="zh-CN"/>
              </w:rPr>
              <w:t>每</w:t>
            </w:r>
            <w:r>
              <w:rPr>
                <w:rFonts w:hint="eastAsia" w:ascii="仿宋" w:hAnsi="仿宋" w:eastAsia="仿宋" w:cs="仿宋"/>
                <w:sz w:val="24"/>
                <w:szCs w:val="24"/>
              </w:rPr>
              <w:t>组/年）</w:t>
            </w:r>
          </w:p>
        </w:tc>
        <w:tc>
          <w:tcPr>
            <w:tcW w:w="612" w:type="pct"/>
            <w:tcBorders>
              <w:top w:val="single" w:color="auto" w:sz="4" w:space="0"/>
              <w:left w:val="single" w:color="auto" w:sz="4" w:space="0"/>
              <w:bottom w:val="single" w:color="auto" w:sz="4" w:space="0"/>
              <w:right w:val="single" w:color="auto" w:sz="4" w:space="0"/>
            </w:tcBorders>
            <w:vAlign w:val="center"/>
          </w:tcPr>
          <w:p w14:paraId="7AD4CAA8">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参选供应商报价（</w:t>
            </w:r>
            <w:r>
              <w:rPr>
                <w:rFonts w:hint="eastAsia" w:ascii="仿宋" w:hAnsi="仿宋" w:eastAsia="仿宋" w:cs="仿宋"/>
                <w:sz w:val="24"/>
                <w:szCs w:val="24"/>
              </w:rPr>
              <w:t>元/</w:t>
            </w:r>
            <w:r>
              <w:rPr>
                <w:rFonts w:hint="eastAsia" w:ascii="仿宋" w:hAnsi="仿宋" w:eastAsia="仿宋" w:cs="仿宋"/>
                <w:sz w:val="24"/>
                <w:szCs w:val="24"/>
                <w:lang w:eastAsia="zh-CN"/>
              </w:rPr>
              <w:t>每</w:t>
            </w:r>
            <w:r>
              <w:rPr>
                <w:rFonts w:hint="eastAsia" w:ascii="仿宋" w:hAnsi="仿宋" w:eastAsia="仿宋" w:cs="仿宋"/>
                <w:sz w:val="24"/>
                <w:szCs w:val="24"/>
              </w:rPr>
              <w:t>组/年</w:t>
            </w:r>
            <w:r>
              <w:rPr>
                <w:rFonts w:hint="eastAsia" w:ascii="仿宋" w:hAnsi="仿宋" w:eastAsia="仿宋" w:cs="仿宋"/>
                <w:sz w:val="24"/>
                <w:szCs w:val="24"/>
                <w:lang w:val="en-US" w:eastAsia="zh-CN"/>
              </w:rPr>
              <w:t>）</w:t>
            </w:r>
          </w:p>
        </w:tc>
        <w:tc>
          <w:tcPr>
            <w:tcW w:w="612" w:type="pct"/>
            <w:tcBorders>
              <w:top w:val="single" w:color="auto" w:sz="4" w:space="0"/>
              <w:left w:val="single" w:color="auto" w:sz="4" w:space="0"/>
              <w:bottom w:val="single" w:color="auto" w:sz="4" w:space="0"/>
              <w:right w:val="single" w:color="auto" w:sz="4" w:space="0"/>
            </w:tcBorders>
            <w:vAlign w:val="center"/>
          </w:tcPr>
          <w:p w14:paraId="0DCE7357">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三年总计（元）</w:t>
            </w:r>
          </w:p>
        </w:tc>
      </w:tr>
      <w:tr w14:paraId="06470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 w:type="pct"/>
            <w:tcBorders>
              <w:top w:val="single" w:color="auto" w:sz="4" w:space="0"/>
              <w:left w:val="single" w:color="auto" w:sz="4" w:space="0"/>
              <w:bottom w:val="single" w:color="auto" w:sz="4" w:space="0"/>
              <w:right w:val="single" w:color="auto" w:sz="4" w:space="0"/>
            </w:tcBorders>
            <w:vAlign w:val="center"/>
          </w:tcPr>
          <w:p w14:paraId="63AF9394">
            <w:pPr>
              <w:jc w:val="center"/>
              <w:rPr>
                <w:rFonts w:ascii="仿宋" w:hAnsi="仿宋" w:eastAsia="仿宋" w:cs="仿宋"/>
                <w:sz w:val="24"/>
                <w:szCs w:val="24"/>
              </w:rPr>
            </w:pPr>
            <w:r>
              <w:rPr>
                <w:rFonts w:hint="eastAsia" w:ascii="仿宋" w:hAnsi="仿宋" w:eastAsia="仿宋" w:cs="仿宋"/>
                <w:sz w:val="24"/>
                <w:szCs w:val="24"/>
              </w:rPr>
              <w:t>1</w:t>
            </w:r>
          </w:p>
        </w:tc>
        <w:tc>
          <w:tcPr>
            <w:tcW w:w="705" w:type="pct"/>
            <w:tcBorders>
              <w:top w:val="single" w:color="auto" w:sz="4" w:space="0"/>
              <w:left w:val="single" w:color="auto" w:sz="4" w:space="0"/>
              <w:bottom w:val="single" w:color="auto" w:sz="4" w:space="0"/>
              <w:right w:val="single" w:color="auto" w:sz="4" w:space="0"/>
            </w:tcBorders>
            <w:vAlign w:val="center"/>
          </w:tcPr>
          <w:p w14:paraId="5BD55661">
            <w:pPr>
              <w:rPr>
                <w:rFonts w:ascii="仿宋" w:hAnsi="仿宋" w:eastAsia="仿宋" w:cs="仿宋"/>
                <w:sz w:val="24"/>
                <w:szCs w:val="24"/>
              </w:rPr>
            </w:pPr>
            <w:r>
              <w:rPr>
                <w:rFonts w:hint="eastAsia" w:ascii="仿宋" w:hAnsi="仿宋" w:eastAsia="仿宋" w:cs="仿宋"/>
                <w:sz w:val="24"/>
                <w:szCs w:val="24"/>
              </w:rPr>
              <w:t>1号宿舍和2号宿舍中间</w:t>
            </w:r>
          </w:p>
        </w:tc>
        <w:tc>
          <w:tcPr>
            <w:tcW w:w="699" w:type="pct"/>
            <w:tcBorders>
              <w:top w:val="single" w:color="auto" w:sz="4" w:space="0"/>
              <w:left w:val="single" w:color="auto" w:sz="4" w:space="0"/>
              <w:bottom w:val="single" w:color="auto" w:sz="4" w:space="0"/>
              <w:right w:val="single" w:color="auto" w:sz="4" w:space="0"/>
            </w:tcBorders>
            <w:vAlign w:val="center"/>
          </w:tcPr>
          <w:p w14:paraId="7C5094DC">
            <w:pPr>
              <w:jc w:val="center"/>
              <w:rPr>
                <w:rFonts w:ascii="仿宋" w:hAnsi="仿宋" w:eastAsia="仿宋" w:cs="仿宋"/>
                <w:sz w:val="24"/>
                <w:szCs w:val="24"/>
              </w:rPr>
            </w:pPr>
            <w:r>
              <w:rPr>
                <w:rFonts w:hint="eastAsia" w:ascii="仿宋" w:hAnsi="仿宋" w:eastAsia="仿宋" w:cs="仿宋"/>
                <w:sz w:val="24"/>
                <w:szCs w:val="24"/>
              </w:rPr>
              <w:t>1主机5副柜2.7平方米</w:t>
            </w:r>
          </w:p>
        </w:tc>
        <w:tc>
          <w:tcPr>
            <w:tcW w:w="1083" w:type="pct"/>
            <w:tcBorders>
              <w:top w:val="single" w:color="auto" w:sz="4" w:space="0"/>
              <w:left w:val="single" w:color="auto" w:sz="4" w:space="0"/>
              <w:bottom w:val="single" w:color="auto" w:sz="4" w:space="0"/>
              <w:right w:val="single" w:color="auto" w:sz="4" w:space="0"/>
            </w:tcBorders>
            <w:vAlign w:val="center"/>
          </w:tcPr>
          <w:p w14:paraId="7C3DCA60">
            <w:pPr>
              <w:jc w:val="center"/>
              <w:rPr>
                <w:rFonts w:ascii="仿宋" w:hAnsi="仿宋" w:eastAsia="仿宋" w:cs="仿宋"/>
                <w:sz w:val="24"/>
                <w:szCs w:val="24"/>
              </w:rPr>
            </w:pPr>
            <w:r>
              <w:rPr>
                <w:rFonts w:hint="eastAsia" w:ascii="仿宋" w:hAnsi="仿宋" w:eastAsia="仿宋" w:cs="仿宋"/>
                <w:sz w:val="24"/>
                <w:szCs w:val="24"/>
              </w:rPr>
              <w:t>540*50*220</w:t>
            </w:r>
          </w:p>
        </w:tc>
        <w:tc>
          <w:tcPr>
            <w:tcW w:w="426" w:type="pct"/>
            <w:tcBorders>
              <w:top w:val="single" w:color="auto" w:sz="4" w:space="0"/>
              <w:left w:val="single" w:color="auto" w:sz="4" w:space="0"/>
              <w:bottom w:val="single" w:color="auto" w:sz="4" w:space="0"/>
              <w:right w:val="single" w:color="auto" w:sz="4" w:space="0"/>
            </w:tcBorders>
            <w:vAlign w:val="center"/>
          </w:tcPr>
          <w:p w14:paraId="7B8F5BE2">
            <w:pPr>
              <w:jc w:val="center"/>
              <w:rPr>
                <w:rFonts w:ascii="仿宋" w:hAnsi="仿宋" w:eastAsia="仿宋" w:cs="仿宋"/>
                <w:sz w:val="24"/>
                <w:szCs w:val="24"/>
              </w:rPr>
            </w:pPr>
            <w:r>
              <w:rPr>
                <w:rFonts w:hint="eastAsia" w:ascii="仿宋" w:hAnsi="仿宋" w:eastAsia="仿宋" w:cs="仿宋"/>
                <w:sz w:val="24"/>
                <w:szCs w:val="24"/>
              </w:rPr>
              <w:t>5</w:t>
            </w:r>
          </w:p>
        </w:tc>
        <w:tc>
          <w:tcPr>
            <w:tcW w:w="612" w:type="pct"/>
            <w:tcBorders>
              <w:top w:val="single" w:color="auto" w:sz="4" w:space="0"/>
              <w:left w:val="single" w:color="auto" w:sz="4" w:space="0"/>
              <w:bottom w:val="single" w:color="auto" w:sz="4" w:space="0"/>
              <w:right w:val="single" w:color="auto" w:sz="4" w:space="0"/>
            </w:tcBorders>
            <w:vAlign w:val="center"/>
          </w:tcPr>
          <w:p w14:paraId="4857A463">
            <w:pPr>
              <w:jc w:val="center"/>
              <w:rPr>
                <w:rFonts w:ascii="仿宋" w:hAnsi="仿宋" w:eastAsia="仿宋" w:cs="仿宋"/>
                <w:sz w:val="24"/>
                <w:szCs w:val="24"/>
              </w:rPr>
            </w:pPr>
            <w:r>
              <w:rPr>
                <w:rFonts w:hint="eastAsia" w:ascii="仿宋" w:hAnsi="仿宋" w:eastAsia="仿宋" w:cs="仿宋"/>
                <w:sz w:val="24"/>
                <w:szCs w:val="24"/>
              </w:rPr>
              <w:t>1500</w:t>
            </w:r>
          </w:p>
        </w:tc>
        <w:tc>
          <w:tcPr>
            <w:tcW w:w="612" w:type="pct"/>
            <w:tcBorders>
              <w:top w:val="single" w:color="auto" w:sz="4" w:space="0"/>
              <w:left w:val="single" w:color="auto" w:sz="4" w:space="0"/>
              <w:bottom w:val="single" w:color="auto" w:sz="4" w:space="0"/>
              <w:right w:val="single" w:color="auto" w:sz="4" w:space="0"/>
            </w:tcBorders>
            <w:vAlign w:val="center"/>
          </w:tcPr>
          <w:p w14:paraId="267F4867">
            <w:pPr>
              <w:jc w:val="center"/>
              <w:rPr>
                <w:rFonts w:hint="eastAsia" w:ascii="仿宋" w:hAnsi="仿宋" w:eastAsia="仿宋" w:cs="仿宋"/>
                <w:sz w:val="24"/>
                <w:szCs w:val="24"/>
              </w:rPr>
            </w:pPr>
          </w:p>
        </w:tc>
        <w:tc>
          <w:tcPr>
            <w:tcW w:w="612" w:type="pct"/>
            <w:tcBorders>
              <w:top w:val="single" w:color="auto" w:sz="4" w:space="0"/>
              <w:left w:val="single" w:color="auto" w:sz="4" w:space="0"/>
              <w:bottom w:val="single" w:color="auto" w:sz="4" w:space="0"/>
              <w:right w:val="single" w:color="auto" w:sz="4" w:space="0"/>
            </w:tcBorders>
            <w:vAlign w:val="center"/>
          </w:tcPr>
          <w:p w14:paraId="61D3EDDA">
            <w:pPr>
              <w:jc w:val="center"/>
              <w:rPr>
                <w:rFonts w:hint="eastAsia" w:ascii="仿宋" w:hAnsi="仿宋" w:eastAsia="仿宋" w:cs="仿宋"/>
                <w:sz w:val="24"/>
                <w:szCs w:val="24"/>
              </w:rPr>
            </w:pPr>
          </w:p>
        </w:tc>
      </w:tr>
    </w:tbl>
    <w:p w14:paraId="5E70570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p>
    <w:p w14:paraId="099607B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服务方根据设备用电功率情况向采购方缴纳电费，服务方应综合考虑各项因素，因自身原因造成自行承担责任，采购方不再补偿。</w:t>
      </w:r>
    </w:p>
    <w:p w14:paraId="1A058AB4">
      <w:pPr>
        <w:adjustRightInd w:val="0"/>
        <w:spacing w:line="500" w:lineRule="exact"/>
        <w:ind w:left="561" w:leftChars="67" w:hanging="420" w:hangingChars="150"/>
        <w:rPr>
          <w:rFonts w:ascii="仿宋" w:hAnsi="仿宋" w:eastAsia="仿宋"/>
          <w:bCs/>
          <w:sz w:val="28"/>
          <w:szCs w:val="28"/>
        </w:rPr>
      </w:pPr>
    </w:p>
    <w:p w14:paraId="4BF3F525">
      <w:pPr>
        <w:tabs>
          <w:tab w:val="left" w:pos="1134"/>
        </w:tabs>
        <w:jc w:val="center"/>
        <w:rPr>
          <w:rFonts w:hint="eastAsia" w:ascii="黑体" w:hAnsi="黑体" w:eastAsia="黑体"/>
          <w:sz w:val="32"/>
          <w:szCs w:val="32"/>
          <w:lang w:val="en-US" w:eastAsia="zh-CN"/>
        </w:rPr>
      </w:pPr>
    </w:p>
    <w:p w14:paraId="7667E69E">
      <w:pPr>
        <w:spacing w:line="500" w:lineRule="exact"/>
        <w:ind w:firstLine="4680" w:firstLineChars="1950"/>
        <w:rPr>
          <w:rFonts w:hint="eastAsia" w:ascii="宋体" w:hAnsi="宋体" w:eastAsia="宋体" w:cs="宋体"/>
          <w:color w:val="000000"/>
          <w:sz w:val="24"/>
          <w:szCs w:val="24"/>
        </w:rPr>
      </w:pPr>
      <w:r>
        <w:rPr>
          <w:rFonts w:hint="eastAsia" w:ascii="宋体" w:hAnsi="宋体" w:eastAsia="宋体" w:cs="宋体"/>
          <w:color w:val="000000"/>
          <w:sz w:val="24"/>
          <w:szCs w:val="24"/>
        </w:rPr>
        <w:t>供应商名称（公章）或自然人签署：</w:t>
      </w:r>
    </w:p>
    <w:p w14:paraId="3ADF4C3D">
      <w:pPr>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年     月     日</w:t>
      </w:r>
    </w:p>
    <w:p w14:paraId="0A3E3FB9">
      <w:pPr>
        <w:adjustRightInd w:val="0"/>
        <w:spacing w:line="500" w:lineRule="exact"/>
        <w:rPr>
          <w:rFonts w:hint="eastAsia" w:ascii="仿宋" w:hAnsi="仿宋" w:eastAsia="仿宋"/>
          <w:b/>
          <w:bCs/>
          <w:sz w:val="32"/>
          <w:szCs w:val="32"/>
        </w:rPr>
      </w:pPr>
    </w:p>
    <w:p w14:paraId="3BED8E65">
      <w:pPr>
        <w:spacing w:line="360" w:lineRule="auto"/>
        <w:ind w:firstLine="480" w:firstLineChars="200"/>
        <w:rPr>
          <w:rFonts w:hint="eastAsia" w:ascii="宋体" w:hAnsi="宋体" w:eastAsia="宋体" w:cs="宋体"/>
          <w:sz w:val="24"/>
          <w:szCs w:val="24"/>
          <w:lang w:val="en-US" w:eastAsia="zh-CN"/>
        </w:rPr>
      </w:pPr>
    </w:p>
    <w:p w14:paraId="22B05BAE">
      <w:pPr>
        <w:spacing w:line="360" w:lineRule="auto"/>
        <w:ind w:firstLine="480" w:firstLineChars="200"/>
        <w:rPr>
          <w:rFonts w:hint="eastAsia" w:ascii="宋体" w:hAnsi="宋体" w:eastAsia="宋体" w:cs="宋体"/>
          <w:sz w:val="24"/>
          <w:szCs w:val="24"/>
          <w:lang w:val="en-US" w:eastAsia="zh-CN"/>
        </w:rPr>
      </w:pPr>
    </w:p>
    <w:p w14:paraId="47B75036">
      <w:pPr>
        <w:spacing w:line="360" w:lineRule="auto"/>
        <w:ind w:firstLine="480" w:firstLineChars="200"/>
        <w:rPr>
          <w:rFonts w:hint="eastAsia" w:ascii="宋体" w:hAnsi="宋体" w:eastAsia="宋体" w:cs="宋体"/>
          <w:sz w:val="24"/>
          <w:szCs w:val="24"/>
          <w:lang w:val="en-US" w:eastAsia="zh-CN"/>
        </w:rPr>
      </w:pPr>
    </w:p>
    <w:p w14:paraId="5726DDEF">
      <w:pPr>
        <w:spacing w:line="360" w:lineRule="auto"/>
        <w:ind w:firstLine="480" w:firstLineChars="200"/>
        <w:rPr>
          <w:rFonts w:hint="eastAsia" w:ascii="宋体" w:hAnsi="宋体" w:eastAsia="宋体" w:cs="宋体"/>
          <w:sz w:val="24"/>
          <w:szCs w:val="24"/>
          <w:lang w:val="en-US" w:eastAsia="zh-CN"/>
        </w:rPr>
      </w:pPr>
    </w:p>
    <w:p w14:paraId="21C92970">
      <w:pPr>
        <w:spacing w:line="360" w:lineRule="auto"/>
        <w:ind w:firstLine="480" w:firstLineChars="200"/>
        <w:rPr>
          <w:rFonts w:hint="eastAsia" w:ascii="宋体" w:hAnsi="宋体" w:eastAsia="宋体" w:cs="宋体"/>
          <w:sz w:val="24"/>
          <w:szCs w:val="24"/>
          <w:lang w:val="en-US" w:eastAsia="zh-CN"/>
        </w:rPr>
      </w:pPr>
    </w:p>
    <w:p w14:paraId="5D88C29A">
      <w:pPr>
        <w:spacing w:line="360" w:lineRule="auto"/>
        <w:ind w:firstLine="480" w:firstLineChars="200"/>
        <w:rPr>
          <w:rFonts w:hint="eastAsia" w:ascii="宋体" w:hAnsi="宋体" w:eastAsia="宋体" w:cs="宋体"/>
          <w:sz w:val="24"/>
          <w:szCs w:val="24"/>
          <w:lang w:val="en-US" w:eastAsia="zh-CN"/>
        </w:rPr>
      </w:pPr>
    </w:p>
    <w:p w14:paraId="5F56EB82">
      <w:pPr>
        <w:rPr>
          <w:rFonts w:hint="eastAsia" w:ascii="宋体" w:hAnsi="宋体" w:eastAsia="宋体" w:cs="宋体"/>
          <w:b/>
          <w:color w:val="000000" w:themeColor="text1"/>
          <w:shd w:val="clear" w:color="auto" w:fill="auto"/>
          <w14:textFill>
            <w14:solidFill>
              <w14:schemeClr w14:val="tx1"/>
            </w14:solidFill>
          </w14:textFill>
        </w:rPr>
      </w:pPr>
    </w:p>
    <w:p w14:paraId="5A00C6B1">
      <w:pPr>
        <w:rPr>
          <w:rFonts w:hint="eastAsia" w:ascii="宋体" w:hAnsi="宋体" w:eastAsia="宋体" w:cs="宋体"/>
          <w:b/>
          <w:color w:val="000000" w:themeColor="text1"/>
          <w:shd w:val="clear" w:color="auto" w:fill="auto"/>
          <w14:textFill>
            <w14:solidFill>
              <w14:schemeClr w14:val="tx1"/>
            </w14:solidFill>
          </w14:textFill>
        </w:rPr>
      </w:pPr>
    </w:p>
    <w:p w14:paraId="0CAD9A01">
      <w:pPr>
        <w:rPr>
          <w:rFonts w:hint="eastAsia" w:ascii="宋体" w:hAnsi="宋体" w:eastAsia="宋体" w:cs="宋体"/>
          <w:b/>
          <w:color w:val="000000" w:themeColor="text1"/>
          <w:shd w:val="clear" w:color="auto" w:fill="auto"/>
          <w14:textFill>
            <w14:solidFill>
              <w14:schemeClr w14:val="tx1"/>
            </w14:solidFill>
          </w14:textFill>
        </w:rPr>
      </w:pPr>
    </w:p>
    <w:p w14:paraId="708E4723">
      <w:pPr>
        <w:rPr>
          <w:rFonts w:hint="eastAsia" w:ascii="宋体" w:hAnsi="宋体" w:eastAsia="宋体" w:cs="宋体"/>
          <w:b/>
          <w:color w:val="000000" w:themeColor="text1"/>
          <w:shd w:val="clear" w:color="auto" w:fill="auto"/>
          <w14:textFill>
            <w14:solidFill>
              <w14:schemeClr w14:val="tx1"/>
            </w14:solidFill>
          </w14:textFill>
        </w:rPr>
      </w:pPr>
    </w:p>
    <w:p w14:paraId="3143DC57">
      <w:pPr>
        <w:rPr>
          <w:rFonts w:hint="eastAsia" w:ascii="宋体" w:hAnsi="宋体" w:eastAsia="宋体" w:cs="宋体"/>
          <w:b/>
          <w:color w:val="000000" w:themeColor="text1"/>
          <w:shd w:val="clear" w:color="auto" w:fill="auto"/>
          <w14:textFill>
            <w14:solidFill>
              <w14:schemeClr w14:val="tx1"/>
            </w14:solidFill>
          </w14:textFill>
        </w:rPr>
      </w:pPr>
    </w:p>
    <w:p w14:paraId="32DE0E30">
      <w:pPr>
        <w:rPr>
          <w:rFonts w:hint="eastAsia" w:ascii="宋体" w:hAnsi="宋体" w:eastAsia="宋体" w:cs="宋体"/>
          <w:b/>
          <w:color w:val="000000" w:themeColor="text1"/>
          <w:shd w:val="clear" w:color="auto" w:fill="auto"/>
          <w14:textFill>
            <w14:solidFill>
              <w14:schemeClr w14:val="tx1"/>
            </w14:solidFill>
          </w14:textFill>
        </w:rPr>
      </w:pPr>
    </w:p>
    <w:p w14:paraId="2ABD6AAC">
      <w:pPr>
        <w:rPr>
          <w:rFonts w:hint="eastAsia" w:ascii="宋体" w:hAnsi="宋体" w:eastAsia="宋体" w:cs="宋体"/>
          <w:b/>
          <w:color w:val="000000" w:themeColor="text1"/>
          <w:shd w:val="clear" w:color="auto" w:fill="auto"/>
          <w14:textFill>
            <w14:solidFill>
              <w14:schemeClr w14:val="tx1"/>
            </w14:solidFill>
          </w14:textFill>
        </w:rPr>
      </w:pPr>
    </w:p>
    <w:p w14:paraId="66BF8EC3">
      <w:pPr>
        <w:rPr>
          <w:rFonts w:hint="eastAsia" w:ascii="宋体" w:hAnsi="宋体" w:eastAsia="宋体" w:cs="宋体"/>
          <w:b/>
          <w:color w:val="000000" w:themeColor="text1"/>
          <w:shd w:val="clear" w:color="auto" w:fill="auto"/>
          <w14:textFill>
            <w14:solidFill>
              <w14:schemeClr w14:val="tx1"/>
            </w14:solidFill>
          </w14:textFill>
        </w:rPr>
      </w:pPr>
    </w:p>
    <w:p w14:paraId="1792FED4">
      <w:pPr>
        <w:rPr>
          <w:rFonts w:hint="eastAsia" w:ascii="宋体" w:hAnsi="宋体" w:eastAsia="宋体" w:cs="宋体"/>
          <w:b/>
          <w:color w:val="000000" w:themeColor="text1"/>
          <w:shd w:val="clear" w:color="auto" w:fill="auto"/>
          <w14:textFill>
            <w14:solidFill>
              <w14:schemeClr w14:val="tx1"/>
            </w14:solidFill>
          </w14:textFill>
        </w:rPr>
      </w:pPr>
    </w:p>
    <w:p w14:paraId="45882ECA">
      <w:pPr>
        <w:rPr>
          <w:rFonts w:hint="eastAsia" w:ascii="宋体" w:hAnsi="宋体" w:eastAsia="宋体" w:cs="宋体"/>
          <w:b/>
          <w:color w:val="000000" w:themeColor="text1"/>
          <w:shd w:val="clear" w:color="auto" w:fill="auto"/>
          <w14:textFill>
            <w14:solidFill>
              <w14:schemeClr w14:val="tx1"/>
            </w14:solidFill>
          </w14:textFill>
        </w:rPr>
      </w:pPr>
    </w:p>
    <w:p w14:paraId="5C7B71E0">
      <w:pPr>
        <w:rPr>
          <w:rFonts w:hint="eastAsia" w:ascii="宋体" w:hAnsi="宋体" w:eastAsia="宋体" w:cs="宋体"/>
          <w:b/>
          <w:color w:val="000000" w:themeColor="text1"/>
          <w:shd w:val="clear" w:color="auto" w:fill="auto"/>
          <w14:textFill>
            <w14:solidFill>
              <w14:schemeClr w14:val="tx1"/>
            </w14:solidFill>
          </w14:textFill>
        </w:rPr>
      </w:pPr>
    </w:p>
    <w:p w14:paraId="5A934B4C">
      <w:pPr>
        <w:rPr>
          <w:rFonts w:hint="eastAsia" w:ascii="宋体" w:hAnsi="宋体" w:eastAsia="宋体" w:cs="宋体"/>
          <w:b/>
          <w:color w:val="000000" w:themeColor="text1"/>
          <w:shd w:val="clear" w:color="auto" w:fill="auto"/>
          <w14:textFill>
            <w14:solidFill>
              <w14:schemeClr w14:val="tx1"/>
            </w14:solidFill>
          </w14:textFill>
        </w:rPr>
      </w:pPr>
    </w:p>
    <w:p w14:paraId="6E50CC1B">
      <w:pPr>
        <w:rPr>
          <w:rFonts w:hint="eastAsia" w:ascii="宋体" w:hAnsi="宋体" w:eastAsia="宋体" w:cs="宋体"/>
          <w:b/>
          <w:color w:val="000000" w:themeColor="text1"/>
          <w:shd w:val="clear" w:color="auto" w:fill="auto"/>
          <w14:textFill>
            <w14:solidFill>
              <w14:schemeClr w14:val="tx1"/>
            </w14:solidFill>
          </w14:textFill>
        </w:rPr>
      </w:pPr>
    </w:p>
    <w:p w14:paraId="1A77933E">
      <w:pPr>
        <w:rPr>
          <w:rFonts w:hint="eastAsia" w:ascii="宋体" w:hAnsi="宋体" w:eastAsia="宋体" w:cs="宋体"/>
          <w:b/>
          <w:color w:val="000000" w:themeColor="text1"/>
          <w:shd w:val="clear" w:color="auto" w:fill="auto"/>
          <w14:textFill>
            <w14:solidFill>
              <w14:schemeClr w14:val="tx1"/>
            </w14:solidFill>
          </w14:textFill>
        </w:rPr>
      </w:pPr>
    </w:p>
    <w:p w14:paraId="59C6282F">
      <w:pPr>
        <w:rPr>
          <w:rFonts w:hint="eastAsia" w:ascii="宋体" w:hAnsi="宋体" w:eastAsia="宋体" w:cs="宋体"/>
          <w:b/>
          <w:color w:val="000000" w:themeColor="text1"/>
          <w:shd w:val="clear" w:color="auto" w:fill="auto"/>
          <w14:textFill>
            <w14:solidFill>
              <w14:schemeClr w14:val="tx1"/>
            </w14:solidFill>
          </w14:textFill>
        </w:rPr>
      </w:pPr>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bookmarkStart w:id="166" w:name="_Toc9883"/>
      <w:bookmarkStart w:id="167" w:name="_Toc12908"/>
      <w:r>
        <w:rPr>
          <w:rFonts w:hint="eastAsia" w:ascii="宋体" w:hAnsi="宋体" w:eastAsia="宋体" w:cs="宋体"/>
          <w:b/>
          <w:color w:val="000000" w:themeColor="text1"/>
          <w:shd w:val="clear" w:color="auto" w:fill="auto"/>
          <w14:textFill>
            <w14:solidFill>
              <w14:schemeClr w14:val="tx1"/>
            </w14:solidFill>
          </w14:textFill>
        </w:rPr>
        <w:t>二、服务部分</w:t>
      </w:r>
      <w:bookmarkEnd w:id="161"/>
      <w:bookmarkEnd w:id="162"/>
      <w:bookmarkEnd w:id="163"/>
      <w:bookmarkEnd w:id="164"/>
      <w:bookmarkEnd w:id="165"/>
      <w:bookmarkEnd w:id="166"/>
      <w:bookmarkEnd w:id="167"/>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8" w:name="_Toc313008358"/>
      <w:bookmarkStart w:id="169" w:name="_Toc313888362"/>
      <w:bookmarkStart w:id="170" w:name="_Toc13844"/>
      <w:bookmarkStart w:id="171" w:name="_Toc485108798"/>
      <w:bookmarkStart w:id="172" w:name="_Toc342913421"/>
      <w:bookmarkStart w:id="173" w:name="_Toc480979020"/>
      <w:bookmarkStart w:id="174" w:name="_Toc15203"/>
      <w:r>
        <w:rPr>
          <w:rFonts w:hint="eastAsia" w:ascii="宋体" w:hAnsi="宋体" w:eastAsia="宋体" w:cs="宋体"/>
          <w:b/>
          <w:color w:val="000000" w:themeColor="text1"/>
          <w:shd w:val="clear" w:color="auto" w:fill="auto"/>
          <w14:textFill>
            <w14:solidFill>
              <w14:schemeClr w14:val="tx1"/>
            </w14:solidFill>
          </w14:textFill>
        </w:rPr>
        <w:t>三、商务部分</w:t>
      </w:r>
      <w:bookmarkEnd w:id="168"/>
      <w:bookmarkEnd w:id="169"/>
      <w:bookmarkEnd w:id="170"/>
      <w:bookmarkEnd w:id="171"/>
      <w:bookmarkEnd w:id="172"/>
      <w:bookmarkEnd w:id="173"/>
      <w:bookmarkEnd w:id="174"/>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5"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5"/>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6" w:name="_Toc10896"/>
      <w:bookmarkStart w:id="177"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6"/>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8"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8"/>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79" w:name="_Toc9941"/>
      <w:bookmarkStart w:id="180" w:name="_Toc23584"/>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79"/>
      <w:bookmarkEnd w:id="180"/>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7"/>
      <w:bookmarkStart w:id="181" w:name="_Toc342913422"/>
      <w:bookmarkStart w:id="182" w:name="_Toc313008359"/>
      <w:bookmarkStart w:id="183" w:name="_Toc313888363"/>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81"/>
      <w:bookmarkEnd w:id="182"/>
      <w:bookmarkEnd w:id="183"/>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4" w:name="OLE_LINK4"/>
      <w:bookmarkStart w:id="185" w:name="OLE_LINK7"/>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szCs w:val="24"/>
        </w:rPr>
        <w:br w:type="page"/>
      </w:r>
    </w:p>
    <w:bookmarkEnd w:id="184"/>
    <w:bookmarkEnd w:id="185"/>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6" w:name="_Toc31463"/>
      <w:bookmarkStart w:id="187" w:name="_Toc27212"/>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6"/>
    <w:bookmarkEnd w:id="187"/>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271C6D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8"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8"/>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9"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89"/>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90"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90"/>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4378238-E84F-49A7-A121-8230A4D87086}"/>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2" w:fontKey="{AAD393EA-DC25-4DA5-B4EC-8FEED17AD882}"/>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3" w:fontKey="{126E06B3-2EA4-409E-8AD5-6C65D58838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6"/>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6"/>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6"/>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7"/>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7"/>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7"/>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4"/>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83815"/>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2D01"/>
    <w:rsid w:val="00F46D9E"/>
    <w:rsid w:val="00F612D7"/>
    <w:rsid w:val="00F77324"/>
    <w:rsid w:val="00FA72A1"/>
    <w:rsid w:val="00FF1BDE"/>
    <w:rsid w:val="01067A49"/>
    <w:rsid w:val="015A3746"/>
    <w:rsid w:val="016D6AC7"/>
    <w:rsid w:val="021D673F"/>
    <w:rsid w:val="022C27C5"/>
    <w:rsid w:val="027473BF"/>
    <w:rsid w:val="02CB7F49"/>
    <w:rsid w:val="02D84414"/>
    <w:rsid w:val="02FE0C09"/>
    <w:rsid w:val="037759DB"/>
    <w:rsid w:val="03BB3ADF"/>
    <w:rsid w:val="03C2134C"/>
    <w:rsid w:val="04DA26C6"/>
    <w:rsid w:val="04DE1E0F"/>
    <w:rsid w:val="04F00597"/>
    <w:rsid w:val="05D9289E"/>
    <w:rsid w:val="05E64439"/>
    <w:rsid w:val="05E94CDF"/>
    <w:rsid w:val="060E092E"/>
    <w:rsid w:val="065A1406"/>
    <w:rsid w:val="067D7A0C"/>
    <w:rsid w:val="06A45EA9"/>
    <w:rsid w:val="06BC1BB0"/>
    <w:rsid w:val="074B1659"/>
    <w:rsid w:val="07911761"/>
    <w:rsid w:val="07C5765D"/>
    <w:rsid w:val="07F26429"/>
    <w:rsid w:val="084C34CD"/>
    <w:rsid w:val="08EF313E"/>
    <w:rsid w:val="094176DB"/>
    <w:rsid w:val="0ACB5503"/>
    <w:rsid w:val="0ACF458A"/>
    <w:rsid w:val="0AFB7145"/>
    <w:rsid w:val="0B6515A1"/>
    <w:rsid w:val="0B6F68C5"/>
    <w:rsid w:val="0BAE21B6"/>
    <w:rsid w:val="0BDC31C7"/>
    <w:rsid w:val="0BE1258C"/>
    <w:rsid w:val="0BE64970"/>
    <w:rsid w:val="0C033E70"/>
    <w:rsid w:val="0C3152C1"/>
    <w:rsid w:val="0C481EEF"/>
    <w:rsid w:val="0C56674E"/>
    <w:rsid w:val="0C931BB2"/>
    <w:rsid w:val="0C975B64"/>
    <w:rsid w:val="0C9D3992"/>
    <w:rsid w:val="0D4D5237"/>
    <w:rsid w:val="0DC167EC"/>
    <w:rsid w:val="0E0E625A"/>
    <w:rsid w:val="0E38674E"/>
    <w:rsid w:val="0E4D3D6E"/>
    <w:rsid w:val="0E5721EA"/>
    <w:rsid w:val="0E5A796A"/>
    <w:rsid w:val="0E5B5064"/>
    <w:rsid w:val="0E5B6625"/>
    <w:rsid w:val="0E9859A3"/>
    <w:rsid w:val="0E987B2D"/>
    <w:rsid w:val="0ECE4584"/>
    <w:rsid w:val="0F291536"/>
    <w:rsid w:val="0FAB0EE6"/>
    <w:rsid w:val="0FC701EB"/>
    <w:rsid w:val="0FD61CDB"/>
    <w:rsid w:val="0FD8306F"/>
    <w:rsid w:val="0FFD1C5A"/>
    <w:rsid w:val="1014334F"/>
    <w:rsid w:val="10246EEB"/>
    <w:rsid w:val="10413B50"/>
    <w:rsid w:val="104D689B"/>
    <w:rsid w:val="109D57E0"/>
    <w:rsid w:val="10BF5E9B"/>
    <w:rsid w:val="111523FC"/>
    <w:rsid w:val="111C3A01"/>
    <w:rsid w:val="11782A26"/>
    <w:rsid w:val="13141499"/>
    <w:rsid w:val="131D034D"/>
    <w:rsid w:val="134E0964"/>
    <w:rsid w:val="13633F56"/>
    <w:rsid w:val="13653AA2"/>
    <w:rsid w:val="13BA1693"/>
    <w:rsid w:val="13D52C1B"/>
    <w:rsid w:val="13F41DC8"/>
    <w:rsid w:val="144B1714"/>
    <w:rsid w:val="14B95EDB"/>
    <w:rsid w:val="14C6168E"/>
    <w:rsid w:val="14C6556D"/>
    <w:rsid w:val="14E12006"/>
    <w:rsid w:val="1554725E"/>
    <w:rsid w:val="15604521"/>
    <w:rsid w:val="156125ED"/>
    <w:rsid w:val="158D32E0"/>
    <w:rsid w:val="16243DF1"/>
    <w:rsid w:val="16585A73"/>
    <w:rsid w:val="165A4E2F"/>
    <w:rsid w:val="17E52B34"/>
    <w:rsid w:val="18130842"/>
    <w:rsid w:val="18465822"/>
    <w:rsid w:val="18675712"/>
    <w:rsid w:val="188B43F5"/>
    <w:rsid w:val="18E50010"/>
    <w:rsid w:val="18F71640"/>
    <w:rsid w:val="19394057"/>
    <w:rsid w:val="199C2358"/>
    <w:rsid w:val="19B7492C"/>
    <w:rsid w:val="1A511E59"/>
    <w:rsid w:val="1A705757"/>
    <w:rsid w:val="1B1D5FE3"/>
    <w:rsid w:val="1B484046"/>
    <w:rsid w:val="1B4A5E5B"/>
    <w:rsid w:val="1B925650"/>
    <w:rsid w:val="1C0025BA"/>
    <w:rsid w:val="1C66752D"/>
    <w:rsid w:val="1C6945DA"/>
    <w:rsid w:val="1CD22D64"/>
    <w:rsid w:val="1CED540D"/>
    <w:rsid w:val="1CF33ECD"/>
    <w:rsid w:val="1CF736B7"/>
    <w:rsid w:val="1D632E00"/>
    <w:rsid w:val="1DD87EDC"/>
    <w:rsid w:val="1DDA4D59"/>
    <w:rsid w:val="1E8652AA"/>
    <w:rsid w:val="1E9D4968"/>
    <w:rsid w:val="1EB13D33"/>
    <w:rsid w:val="1EBB0A1A"/>
    <w:rsid w:val="1EC379F5"/>
    <w:rsid w:val="1F062593"/>
    <w:rsid w:val="1F08489B"/>
    <w:rsid w:val="1F2D0A6E"/>
    <w:rsid w:val="1F3A098C"/>
    <w:rsid w:val="1F3D23B3"/>
    <w:rsid w:val="1F6A74CC"/>
    <w:rsid w:val="1F6D6E4A"/>
    <w:rsid w:val="1F8009D9"/>
    <w:rsid w:val="1FCE723D"/>
    <w:rsid w:val="20084BEF"/>
    <w:rsid w:val="203372B2"/>
    <w:rsid w:val="204C6181"/>
    <w:rsid w:val="20FB0BC7"/>
    <w:rsid w:val="2114239C"/>
    <w:rsid w:val="216435EB"/>
    <w:rsid w:val="21C45BE8"/>
    <w:rsid w:val="21F678C9"/>
    <w:rsid w:val="21F94F0D"/>
    <w:rsid w:val="224F1BA5"/>
    <w:rsid w:val="22EF7055"/>
    <w:rsid w:val="231132FF"/>
    <w:rsid w:val="23743B1F"/>
    <w:rsid w:val="240C0392"/>
    <w:rsid w:val="24514D5A"/>
    <w:rsid w:val="24AB13E3"/>
    <w:rsid w:val="254D6667"/>
    <w:rsid w:val="25B67319"/>
    <w:rsid w:val="25B7688A"/>
    <w:rsid w:val="25B91E1A"/>
    <w:rsid w:val="26380176"/>
    <w:rsid w:val="26A440C8"/>
    <w:rsid w:val="26FE2E6F"/>
    <w:rsid w:val="271E4A07"/>
    <w:rsid w:val="275D539C"/>
    <w:rsid w:val="27B41749"/>
    <w:rsid w:val="27BE30B5"/>
    <w:rsid w:val="282105EF"/>
    <w:rsid w:val="282D107F"/>
    <w:rsid w:val="28377F6C"/>
    <w:rsid w:val="28580457"/>
    <w:rsid w:val="287535CD"/>
    <w:rsid w:val="28CD4235"/>
    <w:rsid w:val="28D01566"/>
    <w:rsid w:val="28E31299"/>
    <w:rsid w:val="293D6BFB"/>
    <w:rsid w:val="29430470"/>
    <w:rsid w:val="29A81CF0"/>
    <w:rsid w:val="29A97C21"/>
    <w:rsid w:val="29AE525D"/>
    <w:rsid w:val="2A0812C8"/>
    <w:rsid w:val="2B3D6767"/>
    <w:rsid w:val="2B57565F"/>
    <w:rsid w:val="2BBD2276"/>
    <w:rsid w:val="2C812A23"/>
    <w:rsid w:val="2CDF621C"/>
    <w:rsid w:val="2CF2794B"/>
    <w:rsid w:val="2D9073ED"/>
    <w:rsid w:val="2DDB0955"/>
    <w:rsid w:val="2E4A05E4"/>
    <w:rsid w:val="2F124686"/>
    <w:rsid w:val="2F1F1F02"/>
    <w:rsid w:val="2F2348BD"/>
    <w:rsid w:val="2F6F1AD9"/>
    <w:rsid w:val="2F831DB2"/>
    <w:rsid w:val="2F943FCB"/>
    <w:rsid w:val="2FD06C0B"/>
    <w:rsid w:val="30381B81"/>
    <w:rsid w:val="30A44277"/>
    <w:rsid w:val="30B15F03"/>
    <w:rsid w:val="30B30136"/>
    <w:rsid w:val="30ED360E"/>
    <w:rsid w:val="31CA4358"/>
    <w:rsid w:val="31FA7479"/>
    <w:rsid w:val="32050A97"/>
    <w:rsid w:val="32284BF5"/>
    <w:rsid w:val="32DA1DD4"/>
    <w:rsid w:val="33323C73"/>
    <w:rsid w:val="333A0B2D"/>
    <w:rsid w:val="333F5C66"/>
    <w:rsid w:val="3361798A"/>
    <w:rsid w:val="33861085"/>
    <w:rsid w:val="34477E1A"/>
    <w:rsid w:val="34B44507"/>
    <w:rsid w:val="35687566"/>
    <w:rsid w:val="35B15F88"/>
    <w:rsid w:val="35D501BC"/>
    <w:rsid w:val="35E87A5C"/>
    <w:rsid w:val="3608331B"/>
    <w:rsid w:val="36382C0F"/>
    <w:rsid w:val="36725171"/>
    <w:rsid w:val="36834056"/>
    <w:rsid w:val="369E1EBF"/>
    <w:rsid w:val="369E4A52"/>
    <w:rsid w:val="36A73740"/>
    <w:rsid w:val="36EC0B56"/>
    <w:rsid w:val="37542B62"/>
    <w:rsid w:val="375A306E"/>
    <w:rsid w:val="37D83F93"/>
    <w:rsid w:val="382D2437"/>
    <w:rsid w:val="38390E08"/>
    <w:rsid w:val="38442273"/>
    <w:rsid w:val="385D0EF3"/>
    <w:rsid w:val="389536A9"/>
    <w:rsid w:val="38C010B0"/>
    <w:rsid w:val="38E86458"/>
    <w:rsid w:val="38EB2B69"/>
    <w:rsid w:val="391C67AE"/>
    <w:rsid w:val="39486CC3"/>
    <w:rsid w:val="39A3534F"/>
    <w:rsid w:val="39D65068"/>
    <w:rsid w:val="3A182084"/>
    <w:rsid w:val="3AA25DEC"/>
    <w:rsid w:val="3AC648F5"/>
    <w:rsid w:val="3B30241A"/>
    <w:rsid w:val="3B5B756F"/>
    <w:rsid w:val="3B870893"/>
    <w:rsid w:val="3C4F6F1A"/>
    <w:rsid w:val="3D2F290C"/>
    <w:rsid w:val="3D462EBD"/>
    <w:rsid w:val="3D4C1E7B"/>
    <w:rsid w:val="3D6E2990"/>
    <w:rsid w:val="3DC21444"/>
    <w:rsid w:val="3DD60FEB"/>
    <w:rsid w:val="3E263CAA"/>
    <w:rsid w:val="3E491747"/>
    <w:rsid w:val="3E6B192F"/>
    <w:rsid w:val="3EA55BAC"/>
    <w:rsid w:val="3EEF12C4"/>
    <w:rsid w:val="3F150346"/>
    <w:rsid w:val="3F4757B8"/>
    <w:rsid w:val="3F591E5E"/>
    <w:rsid w:val="3F5A6C6F"/>
    <w:rsid w:val="3FC45529"/>
    <w:rsid w:val="3FE1690B"/>
    <w:rsid w:val="40113C23"/>
    <w:rsid w:val="403F2E01"/>
    <w:rsid w:val="404A2E64"/>
    <w:rsid w:val="40AB0EC9"/>
    <w:rsid w:val="40C2612C"/>
    <w:rsid w:val="40E52488"/>
    <w:rsid w:val="41007A8F"/>
    <w:rsid w:val="415869FC"/>
    <w:rsid w:val="41670862"/>
    <w:rsid w:val="41A907CE"/>
    <w:rsid w:val="41AB14E8"/>
    <w:rsid w:val="41AC0B4D"/>
    <w:rsid w:val="41D4500D"/>
    <w:rsid w:val="41D67141"/>
    <w:rsid w:val="41F534A6"/>
    <w:rsid w:val="41F5463E"/>
    <w:rsid w:val="42030507"/>
    <w:rsid w:val="420A020E"/>
    <w:rsid w:val="420A1906"/>
    <w:rsid w:val="423F7EC6"/>
    <w:rsid w:val="42720834"/>
    <w:rsid w:val="427D3729"/>
    <w:rsid w:val="428345E9"/>
    <w:rsid w:val="429D5EC0"/>
    <w:rsid w:val="42A40896"/>
    <w:rsid w:val="42BD50C4"/>
    <w:rsid w:val="437470EA"/>
    <w:rsid w:val="437C12A7"/>
    <w:rsid w:val="43F81C45"/>
    <w:rsid w:val="441F4671"/>
    <w:rsid w:val="444565A3"/>
    <w:rsid w:val="447A6AFE"/>
    <w:rsid w:val="44E95A32"/>
    <w:rsid w:val="455E6EF1"/>
    <w:rsid w:val="45AC0F39"/>
    <w:rsid w:val="461B60BF"/>
    <w:rsid w:val="46C96141"/>
    <w:rsid w:val="46D06FAA"/>
    <w:rsid w:val="475461C4"/>
    <w:rsid w:val="477A0BC3"/>
    <w:rsid w:val="47D41743"/>
    <w:rsid w:val="47D63DB2"/>
    <w:rsid w:val="47F3755A"/>
    <w:rsid w:val="482B71EF"/>
    <w:rsid w:val="487D04F4"/>
    <w:rsid w:val="48A31EA1"/>
    <w:rsid w:val="48BF6CAD"/>
    <w:rsid w:val="48FA020D"/>
    <w:rsid w:val="492C6FBB"/>
    <w:rsid w:val="499D1F70"/>
    <w:rsid w:val="4A1025A8"/>
    <w:rsid w:val="4A832C17"/>
    <w:rsid w:val="4A9100D0"/>
    <w:rsid w:val="4AC26B09"/>
    <w:rsid w:val="4AD41B9B"/>
    <w:rsid w:val="4AED1C9D"/>
    <w:rsid w:val="4B597B89"/>
    <w:rsid w:val="4BE8259F"/>
    <w:rsid w:val="4C025EBB"/>
    <w:rsid w:val="4C2E71C3"/>
    <w:rsid w:val="4C4E289A"/>
    <w:rsid w:val="4DBE5CAD"/>
    <w:rsid w:val="4DD75684"/>
    <w:rsid w:val="4E0D2518"/>
    <w:rsid w:val="4E231003"/>
    <w:rsid w:val="4E3873B7"/>
    <w:rsid w:val="4E9956DB"/>
    <w:rsid w:val="4EF70D4B"/>
    <w:rsid w:val="4F2E0C11"/>
    <w:rsid w:val="4F79418A"/>
    <w:rsid w:val="4FEA695B"/>
    <w:rsid w:val="50472E90"/>
    <w:rsid w:val="50A2078E"/>
    <w:rsid w:val="50B9275C"/>
    <w:rsid w:val="50F72CC9"/>
    <w:rsid w:val="50FE286B"/>
    <w:rsid w:val="514069D9"/>
    <w:rsid w:val="51932220"/>
    <w:rsid w:val="51D77CAA"/>
    <w:rsid w:val="52173BDE"/>
    <w:rsid w:val="5228244C"/>
    <w:rsid w:val="529620AE"/>
    <w:rsid w:val="52EA7776"/>
    <w:rsid w:val="52EB291F"/>
    <w:rsid w:val="52ED493F"/>
    <w:rsid w:val="52F55822"/>
    <w:rsid w:val="52F92000"/>
    <w:rsid w:val="531F0FF7"/>
    <w:rsid w:val="53B56AAB"/>
    <w:rsid w:val="53E03D6D"/>
    <w:rsid w:val="53E144A4"/>
    <w:rsid w:val="542E6703"/>
    <w:rsid w:val="54333CD5"/>
    <w:rsid w:val="546107D9"/>
    <w:rsid w:val="546E506B"/>
    <w:rsid w:val="549E2395"/>
    <w:rsid w:val="55297C80"/>
    <w:rsid w:val="5531155E"/>
    <w:rsid w:val="565C7750"/>
    <w:rsid w:val="56644F18"/>
    <w:rsid w:val="56A12956"/>
    <w:rsid w:val="56FF2E93"/>
    <w:rsid w:val="576D5122"/>
    <w:rsid w:val="57A5783A"/>
    <w:rsid w:val="58506377"/>
    <w:rsid w:val="586259DC"/>
    <w:rsid w:val="58625BCC"/>
    <w:rsid w:val="58627B7D"/>
    <w:rsid w:val="58B574EB"/>
    <w:rsid w:val="58FC1D80"/>
    <w:rsid w:val="593509FB"/>
    <w:rsid w:val="597817D1"/>
    <w:rsid w:val="59893E96"/>
    <w:rsid w:val="599D432B"/>
    <w:rsid w:val="59E56370"/>
    <w:rsid w:val="5B1E275D"/>
    <w:rsid w:val="5B3E21DC"/>
    <w:rsid w:val="5B4A5024"/>
    <w:rsid w:val="5BBD57F6"/>
    <w:rsid w:val="5BC414F3"/>
    <w:rsid w:val="5C953453"/>
    <w:rsid w:val="5CAE15E3"/>
    <w:rsid w:val="5CB84A88"/>
    <w:rsid w:val="5D290C69"/>
    <w:rsid w:val="5DEE479F"/>
    <w:rsid w:val="5E254884"/>
    <w:rsid w:val="5E36741C"/>
    <w:rsid w:val="5F3F2DAC"/>
    <w:rsid w:val="5F4829DC"/>
    <w:rsid w:val="5F714A03"/>
    <w:rsid w:val="5F725BF8"/>
    <w:rsid w:val="5FB15C3A"/>
    <w:rsid w:val="5FDF26F7"/>
    <w:rsid w:val="5FEC0FE5"/>
    <w:rsid w:val="6022194E"/>
    <w:rsid w:val="606E5CB4"/>
    <w:rsid w:val="60980BFD"/>
    <w:rsid w:val="60D65D3F"/>
    <w:rsid w:val="60F4333C"/>
    <w:rsid w:val="60F85618"/>
    <w:rsid w:val="610B5004"/>
    <w:rsid w:val="611A50B4"/>
    <w:rsid w:val="619C43F3"/>
    <w:rsid w:val="6269072D"/>
    <w:rsid w:val="62A30CCB"/>
    <w:rsid w:val="62E7614F"/>
    <w:rsid w:val="62F24507"/>
    <w:rsid w:val="6352606D"/>
    <w:rsid w:val="639436E3"/>
    <w:rsid w:val="6445282D"/>
    <w:rsid w:val="645A13DB"/>
    <w:rsid w:val="648C045C"/>
    <w:rsid w:val="656A40F1"/>
    <w:rsid w:val="658C5E23"/>
    <w:rsid w:val="65F9363E"/>
    <w:rsid w:val="662057C9"/>
    <w:rsid w:val="66426E7D"/>
    <w:rsid w:val="667E25AF"/>
    <w:rsid w:val="66815672"/>
    <w:rsid w:val="67152E14"/>
    <w:rsid w:val="67770DF7"/>
    <w:rsid w:val="679C27B9"/>
    <w:rsid w:val="67CB3049"/>
    <w:rsid w:val="67FF2A16"/>
    <w:rsid w:val="682465CF"/>
    <w:rsid w:val="68EA74FF"/>
    <w:rsid w:val="6972525B"/>
    <w:rsid w:val="69C211FB"/>
    <w:rsid w:val="69FC5E8B"/>
    <w:rsid w:val="6A16113C"/>
    <w:rsid w:val="6AD14E1A"/>
    <w:rsid w:val="6AE1793A"/>
    <w:rsid w:val="6B056872"/>
    <w:rsid w:val="6B1765A5"/>
    <w:rsid w:val="6B217424"/>
    <w:rsid w:val="6B28360F"/>
    <w:rsid w:val="6B40015A"/>
    <w:rsid w:val="6B9F4D55"/>
    <w:rsid w:val="6BAA3DD9"/>
    <w:rsid w:val="6C172D01"/>
    <w:rsid w:val="6C5B0433"/>
    <w:rsid w:val="6CC2767B"/>
    <w:rsid w:val="6D342244"/>
    <w:rsid w:val="6DAB4CCB"/>
    <w:rsid w:val="6DC70D5C"/>
    <w:rsid w:val="6DDA24A1"/>
    <w:rsid w:val="6DFC3BBF"/>
    <w:rsid w:val="6E0E1C83"/>
    <w:rsid w:val="6E45126B"/>
    <w:rsid w:val="6EA047F7"/>
    <w:rsid w:val="6EFB5292"/>
    <w:rsid w:val="6F062BB9"/>
    <w:rsid w:val="6F185329"/>
    <w:rsid w:val="6F213E8F"/>
    <w:rsid w:val="70E64A50"/>
    <w:rsid w:val="71231A63"/>
    <w:rsid w:val="714B6E37"/>
    <w:rsid w:val="71C72BEE"/>
    <w:rsid w:val="72841954"/>
    <w:rsid w:val="72AA2579"/>
    <w:rsid w:val="73605009"/>
    <w:rsid w:val="73614D85"/>
    <w:rsid w:val="7363682B"/>
    <w:rsid w:val="739465A0"/>
    <w:rsid w:val="73A82490"/>
    <w:rsid w:val="73AA3664"/>
    <w:rsid w:val="73B34AD5"/>
    <w:rsid w:val="73D42B6E"/>
    <w:rsid w:val="743B3E3F"/>
    <w:rsid w:val="74A63C4A"/>
    <w:rsid w:val="74E41D61"/>
    <w:rsid w:val="765A00C6"/>
    <w:rsid w:val="76995E63"/>
    <w:rsid w:val="77452BA0"/>
    <w:rsid w:val="774923FD"/>
    <w:rsid w:val="777E28EC"/>
    <w:rsid w:val="77B52272"/>
    <w:rsid w:val="77E837A3"/>
    <w:rsid w:val="78120C80"/>
    <w:rsid w:val="783A1618"/>
    <w:rsid w:val="788222E3"/>
    <w:rsid w:val="7908485F"/>
    <w:rsid w:val="7936053E"/>
    <w:rsid w:val="793F0B2C"/>
    <w:rsid w:val="794B322E"/>
    <w:rsid w:val="797D07AB"/>
    <w:rsid w:val="79AC25AE"/>
    <w:rsid w:val="7AAC0A0E"/>
    <w:rsid w:val="7B237CCD"/>
    <w:rsid w:val="7B306E47"/>
    <w:rsid w:val="7B8C6B3B"/>
    <w:rsid w:val="7BB717C3"/>
    <w:rsid w:val="7BD77DB7"/>
    <w:rsid w:val="7C3F595C"/>
    <w:rsid w:val="7C507B69"/>
    <w:rsid w:val="7C683BAE"/>
    <w:rsid w:val="7CBD0742"/>
    <w:rsid w:val="7CC601EC"/>
    <w:rsid w:val="7D162D31"/>
    <w:rsid w:val="7D7D55A3"/>
    <w:rsid w:val="7DE81FDD"/>
    <w:rsid w:val="7E075BE0"/>
    <w:rsid w:val="7E3C60AD"/>
    <w:rsid w:val="7EC565EC"/>
    <w:rsid w:val="7EEF5417"/>
    <w:rsid w:val="7F0D3AEF"/>
    <w:rsid w:val="7F435763"/>
    <w:rsid w:val="7F787175"/>
    <w:rsid w:val="7FC371D3"/>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1">
    <w:name w:val="Default Paragraph Font"/>
    <w:autoRedefine/>
    <w:unhideWhenUsed/>
    <w:qFormat/>
    <w:uiPriority w:val="1"/>
  </w:style>
  <w:style w:type="table" w:default="1" w:styleId="59">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23"/>
    <w:link w:val="124"/>
    <w:autoRedefine/>
    <w:qFormat/>
    <w:uiPriority w:val="0"/>
    <w:rPr>
      <w:rFonts w:ascii="仿宋_GB2312" w:hAnsi="Times New Roman" w:eastAsia="仿宋_GB2312" w:cs="Times New Roman"/>
      <w:sz w:val="32"/>
      <w:szCs w:val="20"/>
    </w:rPr>
  </w:style>
  <w:style w:type="paragraph" w:styleId="23">
    <w:name w:val="Quote"/>
    <w:basedOn w:val="1"/>
    <w:next w:val="1"/>
    <w:qFormat/>
    <w:uiPriority w:val="29"/>
    <w:pPr>
      <w:spacing w:beforeLines="50" w:afterLines="50" w:line="360" w:lineRule="auto"/>
    </w:pPr>
    <w:rPr>
      <w:i/>
      <w:iCs/>
      <w:color w:val="000000"/>
      <w:szCs w:val="24"/>
      <w:lang w:val="zh-CN"/>
    </w:rPr>
  </w:style>
  <w:style w:type="paragraph" w:styleId="24">
    <w:name w:val="Body Text Indent"/>
    <w:basedOn w:val="1"/>
    <w:link w:val="105"/>
    <w:autoRedefine/>
    <w:qFormat/>
    <w:uiPriority w:val="0"/>
    <w:pPr>
      <w:spacing w:line="700" w:lineRule="exact"/>
      <w:ind w:left="960"/>
    </w:pPr>
    <w:rPr>
      <w:sz w:val="44"/>
    </w:rPr>
  </w:style>
  <w:style w:type="paragraph" w:styleId="25">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6">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7">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8">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9">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30">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1">
    <w:name w:val="Plain Text"/>
    <w:basedOn w:val="1"/>
    <w:link w:val="92"/>
    <w:autoRedefine/>
    <w:qFormat/>
    <w:uiPriority w:val="0"/>
    <w:rPr>
      <w:rFonts w:ascii="宋体" w:hAnsi="Courier New"/>
    </w:rPr>
  </w:style>
  <w:style w:type="paragraph" w:styleId="32">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3">
    <w:name w:val="Date"/>
    <w:basedOn w:val="1"/>
    <w:next w:val="1"/>
    <w:link w:val="108"/>
    <w:autoRedefine/>
    <w:qFormat/>
    <w:uiPriority w:val="0"/>
    <w:rPr>
      <w:sz w:val="28"/>
    </w:rPr>
  </w:style>
  <w:style w:type="paragraph" w:styleId="34">
    <w:name w:val="Body Text Indent 2"/>
    <w:basedOn w:val="1"/>
    <w:link w:val="78"/>
    <w:autoRedefine/>
    <w:qFormat/>
    <w:uiPriority w:val="0"/>
    <w:pPr>
      <w:snapToGrid w:val="0"/>
      <w:spacing w:line="560" w:lineRule="atLeast"/>
      <w:ind w:firstLine="540"/>
    </w:pPr>
    <w:rPr>
      <w:sz w:val="28"/>
    </w:rPr>
  </w:style>
  <w:style w:type="paragraph" w:styleId="35">
    <w:name w:val="Balloon Text"/>
    <w:basedOn w:val="1"/>
    <w:link w:val="133"/>
    <w:autoRedefine/>
    <w:qFormat/>
    <w:uiPriority w:val="0"/>
    <w:rPr>
      <w:rFonts w:ascii="Times New Roman" w:hAnsi="Times New Roman" w:eastAsia="宋体" w:cs="Times New Roman"/>
      <w:sz w:val="18"/>
      <w:szCs w:val="20"/>
    </w:rPr>
  </w:style>
  <w:style w:type="paragraph" w:styleId="36">
    <w:name w:val="footer"/>
    <w:basedOn w:val="1"/>
    <w:link w:val="106"/>
    <w:autoRedefine/>
    <w:qFormat/>
    <w:uiPriority w:val="99"/>
    <w:pPr>
      <w:tabs>
        <w:tab w:val="center" w:pos="4153"/>
        <w:tab w:val="right" w:pos="8306"/>
      </w:tabs>
      <w:snapToGrid w:val="0"/>
      <w:jc w:val="left"/>
    </w:pPr>
    <w:rPr>
      <w:sz w:val="18"/>
    </w:rPr>
  </w:style>
  <w:style w:type="paragraph" w:styleId="37">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8">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9">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40">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1">
    <w:name w:val="footnote text"/>
    <w:basedOn w:val="1"/>
    <w:link w:val="79"/>
    <w:autoRedefine/>
    <w:qFormat/>
    <w:uiPriority w:val="0"/>
    <w:pPr>
      <w:spacing w:line="360" w:lineRule="auto"/>
    </w:pPr>
    <w:rPr>
      <w:sz w:val="18"/>
    </w:rPr>
  </w:style>
  <w:style w:type="paragraph" w:styleId="42">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3">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4">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5">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6">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7">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8">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9">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50">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1">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2">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3">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4">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5">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6">
    <w:name w:val="annotation subject"/>
    <w:basedOn w:val="19"/>
    <w:next w:val="19"/>
    <w:link w:val="80"/>
    <w:autoRedefine/>
    <w:qFormat/>
    <w:uiPriority w:val="0"/>
    <w:rPr>
      <w:sz w:val="24"/>
    </w:rPr>
  </w:style>
  <w:style w:type="paragraph" w:styleId="57">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8">
    <w:name w:val="Body Text First Indent 2"/>
    <w:basedOn w:val="24"/>
    <w:link w:val="104"/>
    <w:autoRedefine/>
    <w:qFormat/>
    <w:uiPriority w:val="0"/>
    <w:pPr>
      <w:spacing w:after="120" w:line="240" w:lineRule="auto"/>
      <w:ind w:left="420" w:leftChars="200" w:firstLine="420" w:firstLineChars="200"/>
    </w:pPr>
  </w:style>
  <w:style w:type="table" w:styleId="60">
    <w:name w:val="Table Grid"/>
    <w:basedOn w:val="59"/>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2">
    <w:name w:val="Strong"/>
    <w:autoRedefine/>
    <w:qFormat/>
    <w:uiPriority w:val="0"/>
    <w:rPr>
      <w:b/>
    </w:rPr>
  </w:style>
  <w:style w:type="character" w:styleId="63">
    <w:name w:val="page number"/>
    <w:basedOn w:val="61"/>
    <w:autoRedefine/>
    <w:qFormat/>
    <w:uiPriority w:val="0"/>
  </w:style>
  <w:style w:type="character" w:styleId="64">
    <w:name w:val="FollowedHyperlink"/>
    <w:autoRedefine/>
    <w:qFormat/>
    <w:uiPriority w:val="0"/>
    <w:rPr>
      <w:color w:val="800080"/>
      <w:u w:val="single"/>
    </w:rPr>
  </w:style>
  <w:style w:type="character" w:styleId="65">
    <w:name w:val="Emphasis"/>
    <w:autoRedefine/>
    <w:qFormat/>
    <w:uiPriority w:val="0"/>
    <w:rPr>
      <w:i/>
    </w:rPr>
  </w:style>
  <w:style w:type="character" w:styleId="66">
    <w:name w:val="Hyperlink"/>
    <w:autoRedefine/>
    <w:qFormat/>
    <w:uiPriority w:val="99"/>
    <w:rPr>
      <w:color w:val="0000FF"/>
      <w:u w:val="single"/>
    </w:rPr>
  </w:style>
  <w:style w:type="character" w:styleId="67">
    <w:name w:val="annotation reference"/>
    <w:autoRedefine/>
    <w:qFormat/>
    <w:uiPriority w:val="0"/>
    <w:rPr>
      <w:sz w:val="21"/>
      <w:szCs w:val="21"/>
    </w:rPr>
  </w:style>
  <w:style w:type="character" w:styleId="68">
    <w:name w:val="footnote reference"/>
    <w:autoRedefine/>
    <w:qFormat/>
    <w:uiPriority w:val="0"/>
    <w:rPr>
      <w:position w:val="6"/>
      <w:sz w:val="14"/>
      <w:vertAlign w:val="superscript"/>
    </w:rPr>
  </w:style>
  <w:style w:type="character" w:customStyle="1" w:styleId="69">
    <w:name w:val="标题 1 Char"/>
    <w:basedOn w:val="61"/>
    <w:link w:val="2"/>
    <w:autoRedefine/>
    <w:qFormat/>
    <w:uiPriority w:val="0"/>
    <w:rPr>
      <w:rFonts w:ascii="宋体" w:hAnsi="Times New Roman" w:eastAsia="宋体" w:cs="Times New Roman"/>
      <w:sz w:val="28"/>
      <w:szCs w:val="20"/>
    </w:rPr>
  </w:style>
  <w:style w:type="character" w:customStyle="1" w:styleId="70">
    <w:name w:val="标题 2 Char"/>
    <w:basedOn w:val="61"/>
    <w:link w:val="3"/>
    <w:autoRedefine/>
    <w:qFormat/>
    <w:uiPriority w:val="0"/>
    <w:rPr>
      <w:rFonts w:ascii="Arial" w:hAnsi="Arial" w:eastAsia="黑体" w:cs="Times New Roman"/>
      <w:b/>
      <w:sz w:val="32"/>
      <w:szCs w:val="20"/>
    </w:rPr>
  </w:style>
  <w:style w:type="character" w:customStyle="1" w:styleId="71">
    <w:name w:val="标题 3 Char"/>
    <w:basedOn w:val="61"/>
    <w:link w:val="4"/>
    <w:autoRedefine/>
    <w:qFormat/>
    <w:uiPriority w:val="0"/>
    <w:rPr>
      <w:rFonts w:ascii="Times New Roman" w:hAnsi="Times New Roman" w:eastAsia="宋体" w:cs="Times New Roman"/>
      <w:b/>
      <w:sz w:val="32"/>
      <w:szCs w:val="20"/>
    </w:rPr>
  </w:style>
  <w:style w:type="character" w:customStyle="1" w:styleId="72">
    <w:name w:val="标题 4 Char"/>
    <w:basedOn w:val="61"/>
    <w:link w:val="5"/>
    <w:autoRedefine/>
    <w:qFormat/>
    <w:uiPriority w:val="0"/>
    <w:rPr>
      <w:rFonts w:ascii="Arial" w:hAnsi="Arial" w:eastAsia="黑体" w:cs="Times New Roman"/>
      <w:b/>
      <w:sz w:val="28"/>
      <w:szCs w:val="20"/>
    </w:rPr>
  </w:style>
  <w:style w:type="character" w:customStyle="1" w:styleId="73">
    <w:name w:val="标题 5 Char"/>
    <w:basedOn w:val="61"/>
    <w:link w:val="6"/>
    <w:autoRedefine/>
    <w:qFormat/>
    <w:uiPriority w:val="0"/>
    <w:rPr>
      <w:rFonts w:ascii="Times New Roman" w:hAnsi="Times New Roman" w:eastAsia="宋体" w:cs="Times New Roman"/>
      <w:b/>
      <w:sz w:val="28"/>
      <w:szCs w:val="20"/>
    </w:rPr>
  </w:style>
  <w:style w:type="character" w:customStyle="1" w:styleId="74">
    <w:name w:val="标题 6 Char"/>
    <w:basedOn w:val="61"/>
    <w:link w:val="7"/>
    <w:autoRedefine/>
    <w:qFormat/>
    <w:uiPriority w:val="0"/>
    <w:rPr>
      <w:rFonts w:ascii="Arial" w:hAnsi="Arial" w:eastAsia="黑体" w:cs="Times New Roman"/>
      <w:b/>
      <w:sz w:val="24"/>
      <w:szCs w:val="20"/>
    </w:rPr>
  </w:style>
  <w:style w:type="character" w:customStyle="1" w:styleId="75">
    <w:name w:val="标题 7 Char"/>
    <w:basedOn w:val="61"/>
    <w:link w:val="8"/>
    <w:autoRedefine/>
    <w:qFormat/>
    <w:uiPriority w:val="0"/>
    <w:rPr>
      <w:rFonts w:ascii="Arial" w:hAnsi="Arial" w:eastAsia="黑体" w:cs="Times New Roman"/>
      <w:b/>
      <w:sz w:val="24"/>
      <w:szCs w:val="20"/>
    </w:rPr>
  </w:style>
  <w:style w:type="character" w:customStyle="1" w:styleId="76">
    <w:name w:val="标题 8 Char"/>
    <w:basedOn w:val="61"/>
    <w:link w:val="9"/>
    <w:autoRedefine/>
    <w:qFormat/>
    <w:uiPriority w:val="0"/>
    <w:rPr>
      <w:rFonts w:ascii="Arial" w:hAnsi="Arial" w:eastAsia="黑体" w:cs="Times New Roman"/>
      <w:b/>
      <w:sz w:val="24"/>
      <w:szCs w:val="20"/>
    </w:rPr>
  </w:style>
  <w:style w:type="character" w:customStyle="1" w:styleId="77">
    <w:name w:val="标题 9 Char"/>
    <w:basedOn w:val="61"/>
    <w:link w:val="10"/>
    <w:autoRedefine/>
    <w:qFormat/>
    <w:uiPriority w:val="0"/>
    <w:rPr>
      <w:rFonts w:ascii="Arial" w:hAnsi="Arial" w:eastAsia="黑体" w:cs="Times New Roman"/>
      <w:b/>
      <w:sz w:val="24"/>
      <w:szCs w:val="20"/>
    </w:rPr>
  </w:style>
  <w:style w:type="character" w:customStyle="1" w:styleId="78">
    <w:name w:val="正文文本缩进 2 Char"/>
    <w:link w:val="34"/>
    <w:autoRedefine/>
    <w:qFormat/>
    <w:uiPriority w:val="0"/>
    <w:rPr>
      <w:sz w:val="28"/>
    </w:rPr>
  </w:style>
  <w:style w:type="character" w:customStyle="1" w:styleId="79">
    <w:name w:val="脚注文本 Char"/>
    <w:link w:val="41"/>
    <w:autoRedefine/>
    <w:qFormat/>
    <w:uiPriority w:val="0"/>
    <w:rPr>
      <w:sz w:val="18"/>
    </w:rPr>
  </w:style>
  <w:style w:type="character" w:customStyle="1" w:styleId="80">
    <w:name w:val="批注主题 Char"/>
    <w:basedOn w:val="81"/>
    <w:link w:val="56"/>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1"/>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8"/>
    <w:autoRedefine/>
    <w:qFormat/>
    <w:uiPriority w:val="0"/>
    <w:rPr>
      <w:sz w:val="44"/>
    </w:rPr>
  </w:style>
  <w:style w:type="character" w:customStyle="1" w:styleId="105">
    <w:name w:val="正文文本缩进 Char"/>
    <w:link w:val="24"/>
    <w:autoRedefine/>
    <w:qFormat/>
    <w:uiPriority w:val="0"/>
    <w:rPr>
      <w:sz w:val="44"/>
    </w:rPr>
  </w:style>
  <w:style w:type="character" w:customStyle="1" w:styleId="106">
    <w:name w:val="页脚 Char"/>
    <w:link w:val="36"/>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3"/>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1"/>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1"/>
    <w:autoRedefine/>
    <w:semiHidden/>
    <w:qFormat/>
    <w:uiPriority w:val="99"/>
    <w:rPr>
      <w:sz w:val="18"/>
      <w:szCs w:val="18"/>
    </w:rPr>
  </w:style>
  <w:style w:type="character" w:customStyle="1" w:styleId="117">
    <w:name w:val="页眉 Char"/>
    <w:basedOn w:val="61"/>
    <w:link w:val="37"/>
    <w:autoRedefine/>
    <w:qFormat/>
    <w:uiPriority w:val="0"/>
    <w:rPr>
      <w:rFonts w:ascii="Times New Roman" w:hAnsi="Times New Roman" w:eastAsia="宋体" w:cs="Times New Roman"/>
      <w:sz w:val="18"/>
      <w:szCs w:val="20"/>
    </w:rPr>
  </w:style>
  <w:style w:type="character" w:customStyle="1" w:styleId="118">
    <w:name w:val="正文文本缩进 Char1"/>
    <w:basedOn w:val="61"/>
    <w:autoRedefine/>
    <w:semiHidden/>
    <w:qFormat/>
    <w:uiPriority w:val="99"/>
  </w:style>
  <w:style w:type="character" w:customStyle="1" w:styleId="119">
    <w:name w:val="文档结构图 Char"/>
    <w:basedOn w:val="61"/>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1"/>
    <w:autoRedefine/>
    <w:semiHidden/>
    <w:qFormat/>
    <w:uiPriority w:val="99"/>
    <w:rPr>
      <w:sz w:val="18"/>
      <w:szCs w:val="18"/>
    </w:rPr>
  </w:style>
  <w:style w:type="character" w:customStyle="1" w:styleId="121">
    <w:name w:val="正文文本缩进 3 Char"/>
    <w:basedOn w:val="61"/>
    <w:link w:val="44"/>
    <w:autoRedefine/>
    <w:qFormat/>
    <w:uiPriority w:val="0"/>
    <w:rPr>
      <w:rFonts w:ascii="黑体" w:hAnsi="Times New Roman" w:eastAsia="黑体" w:cs="Times New Roman"/>
      <w:sz w:val="28"/>
      <w:szCs w:val="20"/>
    </w:rPr>
  </w:style>
  <w:style w:type="character" w:customStyle="1" w:styleId="122">
    <w:name w:val="正文文本 3 Char"/>
    <w:basedOn w:val="61"/>
    <w:link w:val="20"/>
    <w:autoRedefine/>
    <w:qFormat/>
    <w:uiPriority w:val="0"/>
    <w:rPr>
      <w:rFonts w:ascii="Times New Roman" w:hAnsi="Times New Roman" w:eastAsia="宋体" w:cs="Times New Roman"/>
      <w:sz w:val="16"/>
      <w:szCs w:val="20"/>
    </w:rPr>
  </w:style>
  <w:style w:type="character" w:customStyle="1" w:styleId="123">
    <w:name w:val="正文文本 2 Char"/>
    <w:basedOn w:val="61"/>
    <w:link w:val="48"/>
    <w:autoRedefine/>
    <w:qFormat/>
    <w:uiPriority w:val="0"/>
    <w:rPr>
      <w:rFonts w:ascii="Times New Roman" w:hAnsi="Times New Roman" w:eastAsia="宋体" w:cs="Times New Roman"/>
      <w:sz w:val="24"/>
      <w:szCs w:val="20"/>
    </w:rPr>
  </w:style>
  <w:style w:type="character" w:customStyle="1" w:styleId="124">
    <w:name w:val="正文文本 Char"/>
    <w:basedOn w:val="61"/>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1"/>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1"/>
    <w:link w:val="55"/>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1"/>
    <w:autoRedefine/>
    <w:semiHidden/>
    <w:qFormat/>
    <w:uiPriority w:val="99"/>
    <w:rPr>
      <w:rFonts w:ascii="Courier New" w:hAnsi="Courier New" w:cs="Courier New"/>
      <w:sz w:val="20"/>
      <w:szCs w:val="20"/>
    </w:rPr>
  </w:style>
  <w:style w:type="character" w:customStyle="1" w:styleId="129">
    <w:name w:val="日期 Char1"/>
    <w:basedOn w:val="61"/>
    <w:autoRedefine/>
    <w:semiHidden/>
    <w:qFormat/>
    <w:uiPriority w:val="99"/>
  </w:style>
  <w:style w:type="character" w:customStyle="1" w:styleId="130">
    <w:name w:val="纯文本 Char1"/>
    <w:basedOn w:val="61"/>
    <w:autoRedefine/>
    <w:semiHidden/>
    <w:qFormat/>
    <w:uiPriority w:val="99"/>
    <w:rPr>
      <w:rFonts w:ascii="宋体" w:hAnsi="Courier New" w:eastAsia="宋体" w:cs="Courier New"/>
      <w:szCs w:val="21"/>
    </w:rPr>
  </w:style>
  <w:style w:type="character" w:customStyle="1" w:styleId="131">
    <w:name w:val="批注文字 Char1"/>
    <w:basedOn w:val="61"/>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1"/>
    <w:link w:val="35"/>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7"/>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1"/>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5"/>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4"/>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1"/>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5"/>
    <w:next w:val="1"/>
    <w:autoRedefine/>
    <w:qFormat/>
    <w:uiPriority w:val="0"/>
    <w:pPr>
      <w:spacing w:before="240" w:after="720"/>
    </w:pPr>
    <w:rPr>
      <w:sz w:val="28"/>
    </w:rPr>
  </w:style>
  <w:style w:type="paragraph" w:customStyle="1" w:styleId="241">
    <w:name w:val="标题3——2"/>
    <w:basedOn w:val="4"/>
    <w:next w:val="57"/>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1"/>
    <w:qFormat/>
    <w:uiPriority w:val="0"/>
    <w:rPr>
      <w:rFonts w:hint="eastAsia" w:ascii="宋体" w:hAnsi="宋体" w:eastAsia="宋体" w:cs="宋体"/>
      <w:b/>
      <w:bCs/>
      <w:color w:val="000000"/>
      <w:sz w:val="22"/>
      <w:szCs w:val="22"/>
      <w:u w:val="none"/>
    </w:rPr>
  </w:style>
  <w:style w:type="character" w:customStyle="1" w:styleId="274">
    <w:name w:val="font61"/>
    <w:basedOn w:val="61"/>
    <w:qFormat/>
    <w:uiPriority w:val="0"/>
    <w:rPr>
      <w:rFonts w:hint="eastAsia" w:ascii="宋体" w:hAnsi="宋体" w:eastAsia="宋体" w:cs="宋体"/>
      <w:b/>
      <w:bCs/>
      <w:color w:val="000000"/>
      <w:sz w:val="24"/>
      <w:szCs w:val="24"/>
      <w:u w:val="none"/>
    </w:rPr>
  </w:style>
  <w:style w:type="character" w:customStyle="1" w:styleId="275">
    <w:name w:val="font71"/>
    <w:basedOn w:val="61"/>
    <w:qFormat/>
    <w:uiPriority w:val="0"/>
    <w:rPr>
      <w:rFonts w:ascii="宋体" w:hAnsi="宋体" w:eastAsia="宋体" w:cs="宋体"/>
      <w:b/>
      <w:bCs/>
      <w:color w:val="000000"/>
      <w:sz w:val="24"/>
      <w:szCs w:val="24"/>
      <w:u w:val="none"/>
    </w:rPr>
  </w:style>
  <w:style w:type="character" w:customStyle="1" w:styleId="276">
    <w:name w:val="font81"/>
    <w:basedOn w:val="61"/>
    <w:qFormat/>
    <w:uiPriority w:val="0"/>
    <w:rPr>
      <w:rFonts w:ascii="宋体" w:hAnsi="宋体" w:eastAsia="宋体" w:cs="宋体"/>
      <w:color w:val="000000"/>
      <w:sz w:val="24"/>
      <w:szCs w:val="24"/>
      <w:u w:val="none"/>
    </w:rPr>
  </w:style>
  <w:style w:type="character" w:customStyle="1" w:styleId="277">
    <w:name w:val="font31"/>
    <w:basedOn w:val="61"/>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40</Pages>
  <Words>15728</Words>
  <Characters>16327</Characters>
  <Lines>182</Lines>
  <Paragraphs>51</Paragraphs>
  <TotalTime>1</TotalTime>
  <ScaleCrop>false</ScaleCrop>
  <LinksUpToDate>false</LinksUpToDate>
  <CharactersWithSpaces>17619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2026-03-30T00:24:57Z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