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兴龙湖院区康复科新建隔墙</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3588"/>
      <w:bookmarkStart w:id="2" w:name="_Toc11641050"/>
      <w:bookmarkStart w:id="3" w:name="_Toc6921"/>
      <w:bookmarkStart w:id="4" w:name="_Toc12789052"/>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兴龙湖院区康复科新建隔墙</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313893526"/>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兴龙湖院区康复科新建隔墙</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：自筹资金,项目预算：67178元。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5B35286">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建筑工程施工总承包贰级及以上）</w:t>
      </w:r>
    </w:p>
    <w:p w14:paraId="031E0D82">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54D434CB">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bookmarkStart w:id="189" w:name="_GoBack"/>
      <w:bookmarkEnd w:id="189"/>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本项目为总价包干（包含但不限于人工费、材料费、机械费、保险费、税费等各项费用）。参选供应商根据2018年《重庆市房屋建筑与装饰工程计价定额》《重庆市通用安装工程计价定额》《重庆市房屋修缮工程计价定额》及相关配套文件自主报价。参选供应商应充分考虑完成本工程的各种因素且必须满足采购人的使用要求，参选供应商需自行前往场地勘察，因供应商自身原因造成漏报、少报皆由供应商自行承担，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342913393"/>
      <w:bookmarkStart w:id="42" w:name="_Toc403569780"/>
      <w:bookmarkStart w:id="43" w:name="_Toc19143"/>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14816"/>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403569783"/>
      <w:bookmarkStart w:id="57" w:name="_Toc7135"/>
      <w:bookmarkStart w:id="58"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项目内容：兴龙湖院区康复科新建隔墙大致内容如下，轻质隔墙（尺寸4500*200*3000，由轻钢龙骨、阻燃板、石膏板构成、表面刮腻子、刷乳胶漆，该隔墙完成后需配合显示屏及呼叫器的安装），铝合金型材边框+双层8mm钢化玻璃夹百叶隔断约94.61㎡，玻璃推拉门约3.78㎡，安全文明施工费、措施费等由各参选单位结合自身情况统一报价。</w:t>
      </w:r>
    </w:p>
    <w:p w14:paraId="0ACC1D63">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量要求：本项目中所使用的各项材料须为正规厂家生产的全新合格产品，产品质量须符合国家相关行业的产品质量标准及要求，各项材料须出具产品合格证书及相应的出厂检测报告，检测报告必须真实有效且能够查询；施工质量应达到国家相关规范、标准及要求，施工完成后需满足采购人使用要求并提供完整的竣工资料两份。</w:t>
      </w:r>
    </w:p>
    <w:p w14:paraId="58D06CAC">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3.人员要求：本项目焊工须具有中华人民共和国应急管理部（原国家安全生产监督管理局）颁发的“焊接与热切割作业”，持证人数不得低于一人且为本公司员工（提供社保证明）。</w:t>
      </w:r>
    </w:p>
    <w:p w14:paraId="1702757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val="en-US" w:eastAsia="zh-CN"/>
        </w:rPr>
        <w:t>.开工前责任科室需提交临时施工许可证申请，相关部门审核通过后并办理了临时施工许可证后方可进行施工。在施工过程中，成功供应商应采取有效的安全措施，保证施工人员和其他人员的人身安全，并承担因安全事故导致的一切经济和法律责任。如有损坏财产须照价赔偿。并遵守安全文明施工。</w:t>
      </w:r>
    </w:p>
    <w:p w14:paraId="056F45D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val="en-US" w:eastAsia="zh-CN"/>
        </w:rPr>
        <w:t>.本项目完工后需做好各项售后服务。</w:t>
      </w:r>
    </w:p>
    <w:p w14:paraId="546D4D95">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606174BC">
      <w:pPr>
        <w:rPr>
          <w:rFonts w:hint="eastAsia" w:ascii="宋体" w:hAnsi="宋体" w:eastAsia="仿宋" w:cs="宋体"/>
          <w:b/>
          <w:color w:val="000000" w:themeColor="text1"/>
          <w:sz w:val="36"/>
          <w:szCs w:val="36"/>
          <w:shd w:val="clear" w:color="auto" w:fill="auto"/>
          <w:lang w:val="en-US" w:eastAsia="zh-CN"/>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adjustRightInd w:val="0"/>
        <w:spacing w:line="5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1.质保期：2年。</w:t>
      </w:r>
    </w:p>
    <w:p w14:paraId="7517BE2F">
      <w:pPr>
        <w:adjustRightInd w:val="0"/>
        <w:spacing w:line="5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2.工期：不大于20天</w:t>
      </w:r>
    </w:p>
    <w:p w14:paraId="507DE96D">
      <w:pPr>
        <w:adjustRightInd w:val="0"/>
        <w:spacing w:line="5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报价方式：本项目为总价包干（包含但不限于人工费、材料费、机械费、保险费、税费等各项费用）。参选供应商根据2018年《重庆市房屋建筑与装饰工程计价定额》《重庆市通用安装工程计价定额》《重庆市房屋修缮工程计价定额》及相关配套文件自主报价。参选供应商应充分考虑完成本工程的各种因素且必须满足采购人的使用要求，参选供应商需自行前往场地勘察，因供应商自身原因造成漏报、少报皆由供应商自行承担，采购方不再补偿。</w:t>
      </w:r>
    </w:p>
    <w:p w14:paraId="740E6503">
      <w:pPr>
        <w:adjustRightInd w:val="0"/>
        <w:spacing w:line="5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付款方式：合同签订后5个工作日内，服务方向采购方转账支付合同金额的8%作为履约保证金。验收合格后服务方提供完整的验收资料两套和合法发票，经采购方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485108794"/>
      <w:bookmarkStart w:id="84" w:name="_Toc26989"/>
      <w:bookmarkStart w:id="85" w:name="_Toc14840"/>
      <w:bookmarkStart w:id="86" w:name="_Toc15711"/>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12789072"/>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03ACADD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51A38C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D56C03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881BC0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313888361"/>
      <w:bookmarkStart w:id="160" w:name="_Toc480979019"/>
      <w:bookmarkStart w:id="161" w:name="_Toc313008357"/>
      <w:bookmarkStart w:id="162" w:name="_Toc485108797"/>
      <w:bookmarkStart w:id="163" w:name="_Toc342913420"/>
      <w:r>
        <w:rPr>
          <w:rFonts w:hint="eastAsia" w:ascii="黑体" w:hAnsi="黑体" w:eastAsia="黑体"/>
          <w:sz w:val="32"/>
          <w:szCs w:val="32"/>
        </w:rPr>
        <w:t>报 价 表</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sz w:val="24"/>
                <w:lang w:val="en-US" w:eastAsia="zh-CN"/>
              </w:rPr>
              <w:t>兴龙湖院区康复科新建隔墙</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w:t>
      </w:r>
      <w:r>
        <w:rPr>
          <w:rFonts w:hint="eastAsia" w:ascii="宋体" w:hAnsi="宋体"/>
          <w:sz w:val="28"/>
          <w:szCs w:val="28"/>
          <w:lang w:eastAsia="zh-CN"/>
        </w:rPr>
        <w:t>参选</w:t>
      </w:r>
      <w:r>
        <w:rPr>
          <w:rFonts w:hint="eastAsia" w:ascii="宋体" w:hAnsi="宋体"/>
          <w:sz w:val="28"/>
          <w:szCs w:val="28"/>
        </w:rPr>
        <w:t>为包干价，包含但不限于材料费、人工费、运输费、搬运费、施工费、保险费、税费等各项费用。</w:t>
      </w:r>
    </w:p>
    <w:p w14:paraId="242A9B05">
      <w:pPr>
        <w:adjustRightInd w:val="0"/>
        <w:spacing w:line="500" w:lineRule="exact"/>
        <w:rPr>
          <w:rFonts w:hint="eastAsia" w:ascii="仿宋" w:hAnsi="仿宋" w:eastAsia="仿宋"/>
          <w:b/>
          <w:bCs/>
          <w:sz w:val="32"/>
          <w:szCs w:val="32"/>
        </w:rPr>
      </w:pPr>
    </w:p>
    <w:p w14:paraId="3BED8E65">
      <w:pPr>
        <w:adjustRightInd w:val="0"/>
        <w:spacing w:line="500" w:lineRule="exact"/>
        <w:rPr>
          <w:rFonts w:hint="eastAsia" w:ascii="仿宋" w:hAnsi="仿宋" w:eastAsia="仿宋"/>
          <w:b/>
          <w:bCs/>
          <w:sz w:val="32"/>
          <w:szCs w:val="32"/>
          <w:lang w:val="en-US" w:eastAsia="zh-CN"/>
        </w:rPr>
      </w:pPr>
      <w:r>
        <w:rPr>
          <w:rFonts w:hint="eastAsia" w:ascii="仿宋" w:hAnsi="仿宋" w:eastAsia="仿宋"/>
          <w:b/>
          <w:bCs/>
          <w:sz w:val="32"/>
          <w:szCs w:val="32"/>
        </w:rPr>
        <w:t>附件</w:t>
      </w:r>
      <w:r>
        <w:rPr>
          <w:rFonts w:hint="eastAsia" w:ascii="仿宋" w:hAnsi="仿宋" w:eastAsia="仿宋"/>
          <w:b/>
          <w:bCs/>
          <w:sz w:val="32"/>
          <w:szCs w:val="32"/>
          <w:lang w:val="en-US" w:eastAsia="zh-CN"/>
        </w:rPr>
        <w:t>二</w:t>
      </w:r>
    </w:p>
    <w:p w14:paraId="6CA2ECB9">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spacing w:line="360" w:lineRule="auto"/>
              <w:jc w:val="center"/>
              <w:rPr>
                <w:rFonts w:hint="default" w:ascii="黑体" w:hAnsi="黑体" w:eastAsia="黑体"/>
                <w:sz w:val="32"/>
                <w:szCs w:val="32"/>
                <w:vertAlign w:val="baseline"/>
                <w:lang w:val="en-US" w:eastAsia="zh-CN"/>
              </w:rPr>
            </w:pPr>
            <w:r>
              <w:rPr>
                <w:rFonts w:hint="eastAsia" w:ascii="宋体" w:hAnsi="宋体"/>
                <w:sz w:val="24"/>
                <w:lang w:val="en-US" w:eastAsia="zh-CN"/>
              </w:rPr>
              <w:t>轻钢龙骨</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阻燃板</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石膏板</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r w14:paraId="343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65DD480">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乳胶漆</w:t>
            </w:r>
          </w:p>
        </w:tc>
        <w:tc>
          <w:tcPr>
            <w:tcW w:w="1830" w:type="dxa"/>
            <w:vAlign w:val="center"/>
          </w:tcPr>
          <w:p w14:paraId="60576612">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7CBF49BE">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38C926A">
            <w:pPr>
              <w:tabs>
                <w:tab w:val="left" w:pos="1134"/>
              </w:tabs>
              <w:jc w:val="center"/>
              <w:rPr>
                <w:rFonts w:hint="default" w:ascii="黑体" w:hAnsi="黑体" w:eastAsia="黑体"/>
                <w:sz w:val="32"/>
                <w:szCs w:val="32"/>
                <w:vertAlign w:val="baseline"/>
                <w:lang w:val="en-US" w:eastAsia="zh-CN"/>
              </w:rPr>
            </w:pPr>
          </w:p>
        </w:tc>
      </w:tr>
      <w:tr w14:paraId="2684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0BC014C">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钢化玻璃</w:t>
            </w:r>
          </w:p>
        </w:tc>
        <w:tc>
          <w:tcPr>
            <w:tcW w:w="1830" w:type="dxa"/>
            <w:vAlign w:val="center"/>
          </w:tcPr>
          <w:p w14:paraId="26693EB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46E0CFB">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D6D7E47">
            <w:pPr>
              <w:tabs>
                <w:tab w:val="left" w:pos="1134"/>
              </w:tabs>
              <w:jc w:val="center"/>
              <w:rPr>
                <w:rFonts w:hint="default" w:ascii="黑体" w:hAnsi="黑体" w:eastAsia="黑体"/>
                <w:sz w:val="32"/>
                <w:szCs w:val="32"/>
                <w:vertAlign w:val="baseline"/>
                <w:lang w:val="en-US" w:eastAsia="zh-CN"/>
              </w:rPr>
            </w:pPr>
          </w:p>
        </w:tc>
      </w:tr>
      <w:tr w14:paraId="2E2C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177D68A">
            <w:pPr>
              <w:tabs>
                <w:tab w:val="left" w:pos="1134"/>
              </w:tabs>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铝合金</w:t>
            </w:r>
          </w:p>
        </w:tc>
        <w:tc>
          <w:tcPr>
            <w:tcW w:w="1830" w:type="dxa"/>
            <w:vAlign w:val="center"/>
          </w:tcPr>
          <w:p w14:paraId="735C483C">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2023054D">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54A4B80">
            <w:pPr>
              <w:tabs>
                <w:tab w:val="left" w:pos="1134"/>
              </w:tabs>
              <w:jc w:val="center"/>
              <w:rPr>
                <w:rFonts w:hint="default" w:ascii="黑体" w:hAnsi="黑体" w:eastAsia="黑体"/>
                <w:sz w:val="32"/>
                <w:szCs w:val="32"/>
                <w:vertAlign w:val="baseline"/>
                <w:lang w:val="en-US" w:eastAsia="zh-CN"/>
              </w:rPr>
            </w:pPr>
          </w:p>
        </w:tc>
      </w:tr>
    </w:tbl>
    <w:p w14:paraId="33617F0C">
      <w:pPr>
        <w:rPr>
          <w:rFonts w:hint="eastAsia" w:ascii="宋体" w:hAnsi="宋体" w:eastAsia="宋体" w:cs="宋体"/>
          <w:color w:val="FF0000"/>
          <w:kern w:val="2"/>
          <w:sz w:val="21"/>
          <w:szCs w:val="21"/>
          <w:shd w:val="clear" w:color="auto" w:fill="auto"/>
          <w:lang w:val="en-US" w:eastAsia="zh-CN" w:bidi="ar-SA"/>
        </w:rPr>
      </w:pPr>
    </w:p>
    <w:p w14:paraId="715F5277">
      <w:pPr>
        <w:pStyle w:val="22"/>
        <w:rPr>
          <w:rFonts w:hint="eastAsia" w:ascii="宋体" w:hAnsi="宋体" w:eastAsia="宋体" w:cs="宋体"/>
          <w:color w:val="FF0000"/>
          <w:sz w:val="24"/>
          <w:szCs w:val="24"/>
          <w:shd w:val="clear" w:color="auto" w:fill="auto"/>
          <w:lang w:val="en-US" w:eastAsia="zh-CN"/>
        </w:rPr>
      </w:pPr>
    </w:p>
    <w:p w14:paraId="5DAAEC05">
      <w:pPr>
        <w:pStyle w:val="22"/>
        <w:ind w:firstLine="11480" w:firstLineChars="4100"/>
        <w:rPr>
          <w:rFonts w:hint="eastAsia" w:ascii="宋体" w:hAnsi="宋体" w:eastAsia="宋体" w:cs="宋体"/>
          <w:color w:val="FF0000"/>
          <w:sz w:val="28"/>
          <w:szCs w:val="28"/>
          <w:shd w:val="clear" w:color="auto" w:fill="auto"/>
          <w:lang w:val="en-US" w:eastAsia="zh-CN"/>
        </w:rPr>
      </w:pPr>
    </w:p>
    <w:p w14:paraId="26BD9500">
      <w:pPr>
        <w:pStyle w:val="22"/>
        <w:ind w:firstLine="11480" w:firstLineChars="4100"/>
        <w:rPr>
          <w:rFonts w:hint="eastAsia" w:ascii="宋体" w:hAnsi="宋体" w:eastAsia="宋体" w:cs="宋体"/>
          <w:color w:val="FF0000"/>
          <w:sz w:val="28"/>
          <w:szCs w:val="28"/>
          <w:shd w:val="clear" w:color="auto" w:fill="auto"/>
          <w:lang w:val="en-US" w:eastAsia="zh-CN"/>
        </w:rPr>
      </w:pPr>
    </w:p>
    <w:p w14:paraId="77211045">
      <w:pPr>
        <w:pStyle w:val="22"/>
        <w:ind w:left="6983" w:leftChars="3325" w:firstLine="4480" w:firstLineChars="16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 xml:space="preserve"> 参选供应商公章</w:t>
      </w:r>
    </w:p>
    <w:p w14:paraId="12F53D94">
      <w:pPr>
        <w:pStyle w:val="22"/>
        <w:ind w:left="7262" w:leftChars="3458" w:firstLine="3920" w:firstLineChars="1400"/>
        <w:rPr>
          <w:rFonts w:hint="eastAsia" w:ascii="宋体" w:hAnsi="宋体" w:eastAsia="宋体" w:cs="宋体"/>
          <w:b/>
          <w:color w:val="000000" w:themeColor="text1"/>
          <w:shd w:val="clear" w:color="auto" w:fill="auto"/>
          <w:lang w:eastAsia="zh-CN"/>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FF0000"/>
          <w:sz w:val="28"/>
          <w:szCs w:val="28"/>
          <w:shd w:val="clear" w:color="auto" w:fill="auto"/>
          <w:lang w:val="en-US" w:eastAsia="zh-CN"/>
        </w:rPr>
        <w:t>年年   月  日</w:t>
      </w:r>
    </w:p>
    <w:p w14:paraId="75A19BCD">
      <w:pPr>
        <w:pStyle w:val="22"/>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bookmarkStart w:id="164" w:name="_Toc9883"/>
      <w:bookmarkStart w:id="165" w:name="_Toc12908"/>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1"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E409C6-43B3-41F7-AF2B-C290B3A12AD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B84DB93D-D1B8-4056-A226-0DC0EE2FE9F1}"/>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664063BA-BDB9-4FAD-B0DA-89FD8B70BC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B01BF">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BB7C23"/>
    <w:rsid w:val="07C5765D"/>
    <w:rsid w:val="07F26429"/>
    <w:rsid w:val="084C34CD"/>
    <w:rsid w:val="094176DB"/>
    <w:rsid w:val="0A0A6350"/>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EF5205"/>
    <w:rsid w:val="1A511E59"/>
    <w:rsid w:val="1A705757"/>
    <w:rsid w:val="1B1D5FE3"/>
    <w:rsid w:val="1B484046"/>
    <w:rsid w:val="1B4A5E5B"/>
    <w:rsid w:val="1B925650"/>
    <w:rsid w:val="1C0025BA"/>
    <w:rsid w:val="1C2A108A"/>
    <w:rsid w:val="1C66752D"/>
    <w:rsid w:val="1C6945DA"/>
    <w:rsid w:val="1CD22D64"/>
    <w:rsid w:val="1CE3498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1FF93EF0"/>
    <w:rsid w:val="20084BEF"/>
    <w:rsid w:val="203372B2"/>
    <w:rsid w:val="204C6181"/>
    <w:rsid w:val="207C1FEF"/>
    <w:rsid w:val="20FB0BC7"/>
    <w:rsid w:val="2114239C"/>
    <w:rsid w:val="216435EB"/>
    <w:rsid w:val="21C45BE8"/>
    <w:rsid w:val="21F678C9"/>
    <w:rsid w:val="21F94F0D"/>
    <w:rsid w:val="224F1BA5"/>
    <w:rsid w:val="22966C23"/>
    <w:rsid w:val="22EF7055"/>
    <w:rsid w:val="231132FF"/>
    <w:rsid w:val="23743B1F"/>
    <w:rsid w:val="240C0392"/>
    <w:rsid w:val="24514D5A"/>
    <w:rsid w:val="24AB13E3"/>
    <w:rsid w:val="24CC6750"/>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D309CE"/>
    <w:rsid w:val="3100742C"/>
    <w:rsid w:val="31CA4358"/>
    <w:rsid w:val="31FA7479"/>
    <w:rsid w:val="32050A97"/>
    <w:rsid w:val="32284BF5"/>
    <w:rsid w:val="32DA1DD4"/>
    <w:rsid w:val="33323C73"/>
    <w:rsid w:val="333F5C66"/>
    <w:rsid w:val="3361798A"/>
    <w:rsid w:val="33861085"/>
    <w:rsid w:val="33C9215E"/>
    <w:rsid w:val="34477E1A"/>
    <w:rsid w:val="34B44507"/>
    <w:rsid w:val="35687566"/>
    <w:rsid w:val="35B15F88"/>
    <w:rsid w:val="35D501BC"/>
    <w:rsid w:val="35E87A5C"/>
    <w:rsid w:val="3608331B"/>
    <w:rsid w:val="36382C0F"/>
    <w:rsid w:val="36834056"/>
    <w:rsid w:val="369E4A52"/>
    <w:rsid w:val="36A73740"/>
    <w:rsid w:val="36EC0B56"/>
    <w:rsid w:val="37055D00"/>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DC7F5C"/>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824D6D"/>
    <w:rsid w:val="45AC0F39"/>
    <w:rsid w:val="461B60BF"/>
    <w:rsid w:val="46607149"/>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8A6872"/>
    <w:rsid w:val="599D432B"/>
    <w:rsid w:val="59E56370"/>
    <w:rsid w:val="5B1E275D"/>
    <w:rsid w:val="5B3E21DC"/>
    <w:rsid w:val="5B4A5024"/>
    <w:rsid w:val="5B895001"/>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6F1A53"/>
    <w:rsid w:val="7AAC0A0E"/>
    <w:rsid w:val="7B237CCD"/>
    <w:rsid w:val="7B306E47"/>
    <w:rsid w:val="7B8C6B3B"/>
    <w:rsid w:val="7BB717C3"/>
    <w:rsid w:val="7BD77DB7"/>
    <w:rsid w:val="7C3F595C"/>
    <w:rsid w:val="7C507B69"/>
    <w:rsid w:val="7C683BAE"/>
    <w:rsid w:val="7CBD0742"/>
    <w:rsid w:val="7CC601EC"/>
    <w:rsid w:val="7CF83E01"/>
    <w:rsid w:val="7D162D31"/>
    <w:rsid w:val="7D3B25C7"/>
    <w:rsid w:val="7D597E6F"/>
    <w:rsid w:val="7D7D55A3"/>
    <w:rsid w:val="7DE81FDD"/>
    <w:rsid w:val="7E3C60AD"/>
    <w:rsid w:val="7EA60D98"/>
    <w:rsid w:val="7EC565EC"/>
    <w:rsid w:val="7EC63F6D"/>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12761</Words>
  <Characters>13055</Characters>
  <Lines>182</Lines>
  <Paragraphs>51</Paragraphs>
  <TotalTime>0</TotalTime>
  <ScaleCrop>false</ScaleCrop>
  <LinksUpToDate>false</LinksUpToDate>
  <CharactersWithSpaces>14048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2026-03-30T01:15:01Z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