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2026FW033</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兴龙湖院区教学部快递柜服务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三</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485108766"/>
      <w:bookmarkStart w:id="2" w:name="_Toc23588"/>
      <w:bookmarkStart w:id="3" w:name="_Toc6921"/>
      <w:bookmarkStart w:id="4" w:name="_Toc12789052"/>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兴龙湖院区教学部快递柜服务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313893526"/>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兴龙湖院区教学部快递柜服务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w:t>
      </w:r>
      <w:bookmarkStart w:id="191" w:name="_GoBack"/>
      <w:bookmarkEnd w:id="191"/>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1.服务方</w:t>
      </w:r>
      <w:bookmarkStart w:id="37" w:name="OLE_LINK1"/>
      <w:bookmarkStart w:id="38" w:name="OLE_LINK2"/>
      <w:r>
        <w:rPr>
          <w:rFonts w:hint="eastAsia" w:ascii="宋体" w:hAnsi="宋体" w:eastAsia="宋体" w:cs="宋体"/>
          <w:color w:val="FF0000"/>
          <w:kern w:val="2"/>
          <w:sz w:val="24"/>
          <w:szCs w:val="24"/>
          <w:shd w:val="clear" w:color="auto" w:fill="auto"/>
          <w:lang w:val="en-US" w:eastAsia="zh-CN" w:bidi="ar-SA"/>
        </w:rPr>
        <w:t>根据设备用电功率情况向采购方缴纳电费</w:t>
      </w:r>
      <w:bookmarkEnd w:id="37"/>
      <w:bookmarkEnd w:id="38"/>
      <w:r>
        <w:rPr>
          <w:rFonts w:hint="eastAsia" w:ascii="宋体" w:hAnsi="宋体" w:eastAsia="宋体" w:cs="宋体"/>
          <w:color w:val="FF0000"/>
          <w:kern w:val="2"/>
          <w:sz w:val="24"/>
          <w:szCs w:val="24"/>
          <w:shd w:val="clear" w:color="auto" w:fill="auto"/>
          <w:lang w:val="en-US" w:eastAsia="zh-CN" w:bidi="ar-SA"/>
        </w:rPr>
        <w:t>，服务方应综合考虑各项因素，因自身原因造成自行承担责任，采购方不再补偿。（报价表见第六章）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9"/>
      <w:bookmarkStart w:id="40" w:name="OLE_LINK3"/>
      <w:bookmarkStart w:id="41"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79714298"/>
      <w:bookmarkStart w:id="45" w:name="_Toc18122"/>
      <w:bookmarkStart w:id="46" w:name="_Toc19143"/>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28776"/>
      <w:bookmarkStart w:id="49" w:name="_Toc403569781"/>
      <w:bookmarkStart w:id="50" w:name="_Toc14247"/>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14816"/>
      <w:bookmarkStart w:id="55"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w:t>
      </w:r>
      <w:r>
        <w:rPr>
          <w:rFonts w:hint="eastAsia" w:ascii="宋体" w:hAnsi="宋体" w:eastAsia="宋体" w:cs="宋体"/>
          <w:color w:val="FF0000"/>
          <w:sz w:val="24"/>
          <w:szCs w:val="24"/>
          <w:shd w:val="clear" w:color="auto" w:fill="auto"/>
        </w:rPr>
        <w:t>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w:t>
      </w:r>
      <w:r>
        <w:rPr>
          <w:rFonts w:hint="eastAsia" w:ascii="宋体" w:hAnsi="宋体" w:eastAsia="宋体" w:cs="宋体"/>
          <w:color w:val="000000" w:themeColor="text1"/>
          <w:sz w:val="24"/>
          <w:szCs w:val="24"/>
          <w:shd w:val="clear" w:color="auto" w:fill="auto"/>
          <w14:textFill>
            <w14:solidFill>
              <w14:schemeClr w14:val="tx1"/>
            </w14:solidFill>
          </w14:textFill>
        </w:rPr>
        <w:t>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000000" w:themeColor="text1"/>
          <w:sz w:val="24"/>
          <w:szCs w:val="24"/>
          <w:shd w:val="clear" w:color="auto" w:fill="auto"/>
          <w14:textFill>
            <w14:solidFill>
              <w14:schemeClr w14:val="tx1"/>
            </w14:solidFill>
          </w14:textFill>
        </w:rPr>
        <w:t>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7135"/>
      <w:bookmarkStart w:id="57" w:name="_Toc403569783"/>
      <w:bookmarkStart w:id="58" w:name="_Toc342913395"/>
      <w:bookmarkStart w:id="59" w:name="_Toc3212"/>
      <w:bookmarkStart w:id="60"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2880"/>
      <w:bookmarkStart w:id="62" w:name="_Toc17413"/>
      <w:bookmarkStart w:id="63"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342913396"/>
      <w:bookmarkStart w:id="66" w:name="_Toc403569785"/>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9" w:name="_Toc11770"/>
      <w:bookmarkStart w:id="70"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1" w:name="_Toc7206"/>
      <w:bookmarkStart w:id="72"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28327"/>
      <w:bookmarkStart w:id="74" w:name="_Toc12789058"/>
      <w:bookmarkStart w:id="75"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F38189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1.投放地点：兴龙湖院区教学部。</w:t>
      </w:r>
    </w:p>
    <w:p w14:paraId="6B4A641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2.投放数量：5台。</w:t>
      </w:r>
    </w:p>
    <w:p w14:paraId="0A5F015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3.基本要求：</w:t>
      </w:r>
    </w:p>
    <w:p w14:paraId="2520714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（1）快递柜应提供24小时自助取件和寄件服务，可以通过短信验证码或扫码等方式取包裹，确保师生及时收到取件信息。</w:t>
      </w:r>
    </w:p>
    <w:p w14:paraId="332597B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（2）支持微信等多种支付方式。</w:t>
      </w:r>
    </w:p>
    <w:p w14:paraId="6FF0C3B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（3）快递柜支持多人同时在线取件，避免高峰期拥挤，提高取件效率‌。</w:t>
      </w:r>
    </w:p>
    <w:p w14:paraId="1D6DAF8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.服务方负责快递柜设备设施的建设、安装和日常的维护管理工作。</w:t>
      </w:r>
    </w:p>
    <w:p w14:paraId="3BBC935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对各家快递物流电商公司进行统一、标准、规范、安全的管理，授权各家使用智能快递柜自助投递服务，并对各家快递物流电商公司进行管理和培训。为师生提供更加安全、便捷、人性化的智能服务，改善校园周边快递乱象的同时，提升校园安全。 </w:t>
      </w:r>
    </w:p>
    <w:p w14:paraId="0F8CBA6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.服务方遵守国家有关法律法规以及采购方的各种规章制度，独立承担一切民事、刑事及行政法律责任。 </w:t>
      </w:r>
    </w:p>
    <w:p w14:paraId="13D7287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.服务方应承诺并保证在履行合同及相关工作的过程中，均不违反任何法律法规、不侵犯任何第三人权利、不存在任何权利瑕疵、不出现任何安全事故，否则服务方自行承担由此造成的全部责任。</w:t>
      </w:r>
    </w:p>
    <w:p w14:paraId="791860D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.服务方有对校内师生个人信息保密的义务，一旦发生重大泄密事件，服务方应无条件配合采购方查找原因。因服务方原因造成的泄密，采购方有权按相关法律法规追究服务方责任。 </w:t>
      </w:r>
    </w:p>
    <w:p w14:paraId="70491C9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 快递柜必须是合格产品，质量要求达到国家规范和安全标准，性能稳定、安全可靠。快递柜机身及扫码后不能出现引起误解的广告、推销等信息。</w:t>
      </w:r>
    </w:p>
    <w:p w14:paraId="5A1982E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.服务方应确定专门的项目负责人与采购方保持联系，随时解决各类问题。</w:t>
      </w:r>
    </w:p>
    <w:p w14:paraId="36524D4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color w:val="000000" w:themeColor="text1"/>
          <w:sz w:val="24"/>
          <w:szCs w:val="24"/>
          <w:shd w:val="clear" w:color="auto" w:fill="auto"/>
          <w14:textFill>
            <w14:solidFill>
              <w14:schemeClr w14:val="tx1"/>
            </w14:solidFill>
          </w14:textFill>
        </w:rPr>
        <w:t>.服务方需配合学校重大活动、重要会议等时间安排，遵守学校相关职能部门的要求。</w:t>
      </w:r>
    </w:p>
    <w:p w14:paraId="2E6FFB7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color w:val="000000" w:themeColor="text1"/>
          <w:sz w:val="24"/>
          <w:szCs w:val="24"/>
          <w:shd w:val="clear" w:color="auto" w:fill="auto"/>
          <w14:textFill>
            <w14:solidFill>
              <w14:schemeClr w14:val="tx1"/>
            </w14:solidFill>
          </w14:textFill>
        </w:rPr>
        <w:t>.合同期满，服务方应如期退出场地，并保证场所的清洁、完整和可使用状态。不得留存物品或影响场地的正常使用。对未经同意留存的物品，采购方有权处理。</w:t>
      </w:r>
    </w:p>
    <w:p w14:paraId="406156B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.服务方须按国家有关规定与聘用员工签订劳动协议，并办理相关社会保险。如发生用工、劳动或其它纠纷，采购方不承担任何责任，由服务方承担全部责任及经济补偿。</w:t>
      </w:r>
    </w:p>
    <w:p w14:paraId="4BCCEFE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56675EC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17014"/>
      <w:bookmarkStart w:id="77"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B648DC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1.合同期限：3年。</w:t>
      </w:r>
    </w:p>
    <w:p w14:paraId="7C01070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2.报价要求：服务方根据设备用电功率情况向采购方缴纳电费，服务方应综合考虑各项因素，因自身原因造成自行承担责任，采购方不再补偿。报价表见附件。</w:t>
      </w:r>
    </w:p>
    <w:p w14:paraId="78F4B91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3.付款方式：电费按年度缴纳，服务方在签订合同后15日内缴纳第一年电费，服务方应在每年12月15日前缴纳下一年电费，费用根据投放数量据实结算。</w:t>
      </w:r>
    </w:p>
    <w:p w14:paraId="6216FD0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4.售后服务：服务方开通24小时客服热线，如在服务过程出现任何客户投诉事宜或设备故障事宜，拔打客服热线，服务方保证在24小时内安排专人处理相关事宜。</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85108794"/>
      <w:bookmarkStart w:id="85" w:name="_Toc26989"/>
      <w:bookmarkStart w:id="86" w:name="_Toc14840"/>
      <w:bookmarkStart w:id="87" w:name="_Toc15711"/>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3696"/>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5565"/>
      <w:bookmarkStart w:id="156" w:name="_Toc485108796"/>
      <w:bookmarkStart w:id="157" w:name="_Toc480979018"/>
      <w:bookmarkStart w:id="158" w:name="_Toc313888360"/>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0E117D4">
      <w:pPr>
        <w:pStyle w:val="52"/>
        <w:spacing w:before="0" w:beforeAutospacing="0" w:after="0" w:afterAutospacing="0" w:line="480" w:lineRule="exact"/>
        <w:jc w:val="center"/>
        <w:rPr>
          <w:rFonts w:ascii="仿宋" w:hAnsi="仿宋" w:eastAsia="仿宋" w:cs="仿宋"/>
          <w:kern w:val="2"/>
          <w:sz w:val="28"/>
          <w:szCs w:val="28"/>
        </w:rPr>
      </w:pPr>
      <w:bookmarkStart w:id="161" w:name="_Toc342913420"/>
      <w:bookmarkStart w:id="162" w:name="_Toc485108797"/>
      <w:bookmarkStart w:id="163" w:name="_Toc480979019"/>
      <w:bookmarkStart w:id="164" w:name="_Toc313008357"/>
      <w:bookmarkStart w:id="165" w:name="_Toc313888361"/>
      <w:r>
        <w:rPr>
          <w:rFonts w:hint="eastAsia" w:ascii="仿宋" w:hAnsi="仿宋" w:eastAsia="仿宋" w:cs="仿宋"/>
          <w:kern w:val="2"/>
          <w:sz w:val="28"/>
          <w:szCs w:val="28"/>
        </w:rPr>
        <w:t>报 价 表</w:t>
      </w:r>
    </w:p>
    <w:p w14:paraId="756C077F">
      <w:pPr>
        <w:pStyle w:val="52"/>
        <w:spacing w:before="0" w:beforeAutospacing="0" w:after="0" w:afterAutospacing="0" w:line="480" w:lineRule="exact"/>
        <w:jc w:val="center"/>
        <w:rPr>
          <w:rFonts w:ascii="仿宋" w:hAnsi="仿宋" w:eastAsia="仿宋" w:cs="仿宋"/>
          <w:kern w:val="2"/>
          <w:sz w:val="28"/>
          <w:szCs w:val="28"/>
        </w:rPr>
      </w:pPr>
    </w:p>
    <w:tbl>
      <w:tblPr>
        <w:tblStyle w:val="59"/>
        <w:tblpPr w:leftFromText="180" w:rightFromText="180" w:vertAnchor="text" w:horzAnchor="page" w:tblpXSpec="center" w:tblpY="48"/>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41"/>
        <w:gridCol w:w="1330"/>
        <w:gridCol w:w="2071"/>
        <w:gridCol w:w="936"/>
        <w:gridCol w:w="1163"/>
        <w:gridCol w:w="1163"/>
        <w:gridCol w:w="1163"/>
      </w:tblGrid>
      <w:tr w14:paraId="7AEE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46" w:type="pct"/>
            <w:tcBorders>
              <w:top w:val="single" w:color="auto" w:sz="4" w:space="0"/>
              <w:left w:val="single" w:color="auto" w:sz="4" w:space="0"/>
              <w:bottom w:val="single" w:color="auto" w:sz="4" w:space="0"/>
              <w:right w:val="single" w:color="auto" w:sz="4" w:space="0"/>
            </w:tcBorders>
            <w:vAlign w:val="center"/>
          </w:tcPr>
          <w:p w14:paraId="01BE5862">
            <w:pPr>
              <w:jc w:val="center"/>
              <w:rPr>
                <w:rFonts w:ascii="仿宋" w:hAnsi="仿宋" w:eastAsia="仿宋" w:cs="仿宋"/>
                <w:sz w:val="24"/>
                <w:szCs w:val="24"/>
              </w:rPr>
            </w:pPr>
            <w:r>
              <w:rPr>
                <w:rFonts w:hint="eastAsia" w:ascii="仿宋" w:hAnsi="仿宋" w:eastAsia="仿宋" w:cs="仿宋"/>
                <w:sz w:val="24"/>
                <w:szCs w:val="24"/>
              </w:rPr>
              <w:t>序号</w:t>
            </w:r>
          </w:p>
        </w:tc>
        <w:tc>
          <w:tcPr>
            <w:tcW w:w="705" w:type="pct"/>
            <w:tcBorders>
              <w:top w:val="single" w:color="auto" w:sz="4" w:space="0"/>
              <w:left w:val="single" w:color="auto" w:sz="4" w:space="0"/>
              <w:bottom w:val="single" w:color="auto" w:sz="4" w:space="0"/>
              <w:right w:val="single" w:color="auto" w:sz="4" w:space="0"/>
            </w:tcBorders>
            <w:vAlign w:val="center"/>
          </w:tcPr>
          <w:p w14:paraId="45EB0667">
            <w:pPr>
              <w:jc w:val="center"/>
              <w:rPr>
                <w:rFonts w:ascii="仿宋" w:hAnsi="仿宋" w:eastAsia="仿宋" w:cs="仿宋"/>
                <w:sz w:val="24"/>
                <w:szCs w:val="24"/>
              </w:rPr>
            </w:pPr>
            <w:r>
              <w:rPr>
                <w:rFonts w:hint="eastAsia" w:ascii="仿宋" w:hAnsi="仿宋" w:eastAsia="仿宋" w:cs="仿宋"/>
                <w:sz w:val="24"/>
                <w:szCs w:val="24"/>
              </w:rPr>
              <w:t>位置</w:t>
            </w:r>
          </w:p>
        </w:tc>
        <w:tc>
          <w:tcPr>
            <w:tcW w:w="699" w:type="pct"/>
            <w:tcBorders>
              <w:top w:val="single" w:color="auto" w:sz="4" w:space="0"/>
              <w:left w:val="single" w:color="auto" w:sz="4" w:space="0"/>
              <w:bottom w:val="single" w:color="auto" w:sz="4" w:space="0"/>
              <w:right w:val="single" w:color="auto" w:sz="4" w:space="0"/>
            </w:tcBorders>
            <w:vAlign w:val="center"/>
          </w:tcPr>
          <w:p w14:paraId="5A8CDE7E">
            <w:pPr>
              <w:jc w:val="center"/>
              <w:rPr>
                <w:rFonts w:ascii="仿宋" w:hAnsi="仿宋" w:eastAsia="仿宋" w:cs="仿宋"/>
                <w:sz w:val="24"/>
                <w:szCs w:val="24"/>
              </w:rPr>
            </w:pPr>
            <w:r>
              <w:rPr>
                <w:rFonts w:hint="eastAsia" w:ascii="仿宋" w:hAnsi="仿宋" w:eastAsia="仿宋" w:cs="仿宋"/>
                <w:sz w:val="24"/>
                <w:szCs w:val="24"/>
              </w:rPr>
              <w:t>数量</w:t>
            </w:r>
          </w:p>
          <w:p w14:paraId="20909614">
            <w:pPr>
              <w:jc w:val="center"/>
              <w:rPr>
                <w:rFonts w:ascii="仿宋" w:hAnsi="仿宋" w:eastAsia="仿宋" w:cs="仿宋"/>
                <w:sz w:val="24"/>
                <w:szCs w:val="24"/>
              </w:rPr>
            </w:pPr>
            <w:r>
              <w:rPr>
                <w:rFonts w:hint="eastAsia" w:ascii="仿宋" w:hAnsi="仿宋" w:eastAsia="仿宋" w:cs="仿宋"/>
                <w:sz w:val="24"/>
                <w:szCs w:val="24"/>
              </w:rPr>
              <w:t>（组/平方米）</w:t>
            </w:r>
          </w:p>
        </w:tc>
        <w:tc>
          <w:tcPr>
            <w:tcW w:w="1083" w:type="pct"/>
            <w:tcBorders>
              <w:top w:val="single" w:color="auto" w:sz="4" w:space="0"/>
              <w:left w:val="single" w:color="auto" w:sz="4" w:space="0"/>
              <w:bottom w:val="single" w:color="auto" w:sz="4" w:space="0"/>
              <w:right w:val="single" w:color="auto" w:sz="4" w:space="0"/>
            </w:tcBorders>
            <w:vAlign w:val="center"/>
          </w:tcPr>
          <w:p w14:paraId="1CC0F4F5">
            <w:pPr>
              <w:jc w:val="center"/>
              <w:rPr>
                <w:rFonts w:ascii="仿宋" w:hAnsi="仿宋" w:eastAsia="仿宋" w:cs="仿宋"/>
                <w:sz w:val="24"/>
                <w:szCs w:val="24"/>
              </w:rPr>
            </w:pPr>
            <w:r>
              <w:rPr>
                <w:rFonts w:hint="eastAsia" w:ascii="仿宋" w:hAnsi="仿宋" w:eastAsia="仿宋" w:cs="仿宋"/>
                <w:sz w:val="24"/>
                <w:szCs w:val="24"/>
              </w:rPr>
              <w:t>每组柜体尺寸</w:t>
            </w:r>
          </w:p>
          <w:p w14:paraId="114CE3C5">
            <w:pPr>
              <w:jc w:val="center"/>
              <w:rPr>
                <w:rFonts w:ascii="仿宋" w:hAnsi="仿宋" w:eastAsia="仿宋" w:cs="仿宋"/>
                <w:sz w:val="24"/>
                <w:szCs w:val="24"/>
              </w:rPr>
            </w:pPr>
            <w:r>
              <w:rPr>
                <w:rFonts w:hint="eastAsia" w:ascii="仿宋" w:hAnsi="仿宋" w:eastAsia="仿宋" w:cs="仿宋"/>
                <w:sz w:val="24"/>
                <w:szCs w:val="24"/>
              </w:rPr>
              <w:t>（长宽高/cm）</w:t>
            </w:r>
          </w:p>
          <w:p w14:paraId="48A9654A">
            <w:pPr>
              <w:jc w:val="center"/>
              <w:rPr>
                <w:rFonts w:ascii="仿宋" w:hAnsi="仿宋" w:eastAsia="仿宋" w:cs="仿宋"/>
                <w:sz w:val="24"/>
                <w:szCs w:val="24"/>
              </w:rPr>
            </w:pPr>
            <w:r>
              <w:rPr>
                <w:rFonts w:hint="eastAsia" w:ascii="仿宋" w:hAnsi="仿宋" w:eastAsia="仿宋" w:cs="仿宋"/>
                <w:sz w:val="24"/>
                <w:szCs w:val="24"/>
              </w:rPr>
              <w:t>（偏差±20cm）</w:t>
            </w:r>
          </w:p>
        </w:tc>
        <w:tc>
          <w:tcPr>
            <w:tcW w:w="426" w:type="pct"/>
            <w:tcBorders>
              <w:top w:val="single" w:color="auto" w:sz="4" w:space="0"/>
              <w:left w:val="single" w:color="auto" w:sz="4" w:space="0"/>
              <w:bottom w:val="single" w:color="auto" w:sz="4" w:space="0"/>
              <w:right w:val="single" w:color="auto" w:sz="4" w:space="0"/>
            </w:tcBorders>
            <w:vAlign w:val="center"/>
          </w:tcPr>
          <w:p w14:paraId="356F4628">
            <w:pPr>
              <w:jc w:val="center"/>
              <w:rPr>
                <w:rFonts w:ascii="仿宋" w:hAnsi="仿宋" w:eastAsia="仿宋" w:cs="仿宋"/>
                <w:sz w:val="24"/>
                <w:szCs w:val="24"/>
              </w:rPr>
            </w:pPr>
            <w:r>
              <w:rPr>
                <w:rFonts w:hint="eastAsia" w:ascii="仿宋" w:hAnsi="仿宋" w:eastAsia="仿宋" w:cs="仿宋"/>
                <w:sz w:val="24"/>
                <w:szCs w:val="24"/>
              </w:rPr>
              <w:t>数 量</w:t>
            </w:r>
          </w:p>
          <w:p w14:paraId="636F6ACF">
            <w:pPr>
              <w:jc w:val="center"/>
              <w:rPr>
                <w:rFonts w:ascii="仿宋" w:hAnsi="仿宋" w:eastAsia="仿宋" w:cs="仿宋"/>
                <w:sz w:val="24"/>
                <w:szCs w:val="24"/>
              </w:rPr>
            </w:pPr>
            <w:r>
              <w:rPr>
                <w:rFonts w:hint="eastAsia" w:ascii="仿宋" w:hAnsi="仿宋" w:eastAsia="仿宋" w:cs="仿宋"/>
                <w:sz w:val="24"/>
                <w:szCs w:val="24"/>
              </w:rPr>
              <w:t>（组）</w:t>
            </w:r>
          </w:p>
        </w:tc>
        <w:tc>
          <w:tcPr>
            <w:tcW w:w="612" w:type="pct"/>
            <w:tcBorders>
              <w:top w:val="single" w:color="auto" w:sz="4" w:space="0"/>
              <w:left w:val="single" w:color="auto" w:sz="4" w:space="0"/>
              <w:bottom w:val="single" w:color="auto" w:sz="4" w:space="0"/>
              <w:right w:val="single" w:color="auto" w:sz="4" w:space="0"/>
            </w:tcBorders>
            <w:vAlign w:val="center"/>
          </w:tcPr>
          <w:p w14:paraId="3371FE61">
            <w:pPr>
              <w:jc w:val="center"/>
              <w:rPr>
                <w:rFonts w:ascii="仿宋" w:hAnsi="仿宋" w:eastAsia="仿宋" w:cs="仿宋"/>
                <w:sz w:val="24"/>
                <w:szCs w:val="24"/>
              </w:rPr>
            </w:pPr>
            <w:r>
              <w:rPr>
                <w:rFonts w:hint="eastAsia" w:ascii="仿宋" w:hAnsi="仿宋" w:eastAsia="仿宋" w:cs="仿宋"/>
                <w:sz w:val="24"/>
                <w:szCs w:val="24"/>
              </w:rPr>
              <w:t>最低限价</w:t>
            </w:r>
          </w:p>
          <w:p w14:paraId="4DF533F9">
            <w:pPr>
              <w:jc w:val="center"/>
              <w:rPr>
                <w:rFonts w:ascii="仿宋" w:hAnsi="仿宋" w:eastAsia="仿宋" w:cs="仿宋"/>
                <w:sz w:val="24"/>
                <w:szCs w:val="24"/>
              </w:rPr>
            </w:pPr>
            <w:r>
              <w:rPr>
                <w:rFonts w:hint="eastAsia" w:ascii="仿宋" w:hAnsi="仿宋" w:eastAsia="仿宋" w:cs="仿宋"/>
                <w:sz w:val="24"/>
                <w:szCs w:val="24"/>
              </w:rPr>
              <w:t>（元/</w:t>
            </w:r>
            <w:r>
              <w:rPr>
                <w:rFonts w:hint="eastAsia" w:ascii="仿宋" w:hAnsi="仿宋" w:eastAsia="仿宋" w:cs="仿宋"/>
                <w:sz w:val="24"/>
                <w:szCs w:val="24"/>
                <w:lang w:eastAsia="zh-CN"/>
              </w:rPr>
              <w:t>每</w:t>
            </w:r>
            <w:r>
              <w:rPr>
                <w:rFonts w:hint="eastAsia" w:ascii="仿宋" w:hAnsi="仿宋" w:eastAsia="仿宋" w:cs="仿宋"/>
                <w:sz w:val="24"/>
                <w:szCs w:val="24"/>
              </w:rPr>
              <w:t>组/年）</w:t>
            </w:r>
          </w:p>
        </w:tc>
        <w:tc>
          <w:tcPr>
            <w:tcW w:w="612" w:type="pct"/>
            <w:tcBorders>
              <w:top w:val="single" w:color="auto" w:sz="4" w:space="0"/>
              <w:left w:val="single" w:color="auto" w:sz="4" w:space="0"/>
              <w:bottom w:val="single" w:color="auto" w:sz="4" w:space="0"/>
              <w:right w:val="single" w:color="auto" w:sz="4" w:space="0"/>
            </w:tcBorders>
            <w:vAlign w:val="center"/>
          </w:tcPr>
          <w:p w14:paraId="7AD4CAA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参选供应商报价（</w:t>
            </w:r>
            <w:r>
              <w:rPr>
                <w:rFonts w:hint="eastAsia" w:ascii="仿宋" w:hAnsi="仿宋" w:eastAsia="仿宋" w:cs="仿宋"/>
                <w:sz w:val="24"/>
                <w:szCs w:val="24"/>
              </w:rPr>
              <w:t>元/</w:t>
            </w:r>
            <w:r>
              <w:rPr>
                <w:rFonts w:hint="eastAsia" w:ascii="仿宋" w:hAnsi="仿宋" w:eastAsia="仿宋" w:cs="仿宋"/>
                <w:sz w:val="24"/>
                <w:szCs w:val="24"/>
                <w:lang w:eastAsia="zh-CN"/>
              </w:rPr>
              <w:t>每</w:t>
            </w:r>
            <w:r>
              <w:rPr>
                <w:rFonts w:hint="eastAsia" w:ascii="仿宋" w:hAnsi="仿宋" w:eastAsia="仿宋" w:cs="仿宋"/>
                <w:sz w:val="24"/>
                <w:szCs w:val="24"/>
              </w:rPr>
              <w:t>组/年</w:t>
            </w:r>
            <w:r>
              <w:rPr>
                <w:rFonts w:hint="eastAsia" w:ascii="仿宋" w:hAnsi="仿宋" w:eastAsia="仿宋" w:cs="仿宋"/>
                <w:sz w:val="24"/>
                <w:szCs w:val="24"/>
                <w:lang w:val="en-US" w:eastAsia="zh-CN"/>
              </w:rPr>
              <w:t>）</w:t>
            </w:r>
          </w:p>
        </w:tc>
        <w:tc>
          <w:tcPr>
            <w:tcW w:w="612" w:type="pct"/>
            <w:tcBorders>
              <w:top w:val="single" w:color="auto" w:sz="4" w:space="0"/>
              <w:left w:val="single" w:color="auto" w:sz="4" w:space="0"/>
              <w:bottom w:val="single" w:color="auto" w:sz="4" w:space="0"/>
              <w:right w:val="single" w:color="auto" w:sz="4" w:space="0"/>
            </w:tcBorders>
            <w:vAlign w:val="center"/>
          </w:tcPr>
          <w:p w14:paraId="0DCE735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三年总计（元）</w:t>
            </w:r>
          </w:p>
        </w:tc>
      </w:tr>
      <w:tr w14:paraId="0647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tcBorders>
              <w:top w:val="single" w:color="auto" w:sz="4" w:space="0"/>
              <w:left w:val="single" w:color="auto" w:sz="4" w:space="0"/>
              <w:bottom w:val="single" w:color="auto" w:sz="4" w:space="0"/>
              <w:right w:val="single" w:color="auto" w:sz="4" w:space="0"/>
            </w:tcBorders>
            <w:vAlign w:val="center"/>
          </w:tcPr>
          <w:p w14:paraId="63AF9394">
            <w:pPr>
              <w:jc w:val="center"/>
              <w:rPr>
                <w:rFonts w:ascii="仿宋" w:hAnsi="仿宋" w:eastAsia="仿宋" w:cs="仿宋"/>
                <w:sz w:val="24"/>
                <w:szCs w:val="24"/>
              </w:rPr>
            </w:pPr>
            <w:r>
              <w:rPr>
                <w:rFonts w:hint="eastAsia" w:ascii="仿宋" w:hAnsi="仿宋" w:eastAsia="仿宋" w:cs="仿宋"/>
                <w:sz w:val="24"/>
                <w:szCs w:val="24"/>
              </w:rPr>
              <w:t>1</w:t>
            </w:r>
          </w:p>
        </w:tc>
        <w:tc>
          <w:tcPr>
            <w:tcW w:w="705" w:type="pct"/>
            <w:tcBorders>
              <w:top w:val="single" w:color="auto" w:sz="4" w:space="0"/>
              <w:left w:val="single" w:color="auto" w:sz="4" w:space="0"/>
              <w:bottom w:val="single" w:color="auto" w:sz="4" w:space="0"/>
              <w:right w:val="single" w:color="auto" w:sz="4" w:space="0"/>
            </w:tcBorders>
            <w:vAlign w:val="center"/>
          </w:tcPr>
          <w:p w14:paraId="5BD55661">
            <w:pPr>
              <w:rPr>
                <w:rFonts w:ascii="仿宋" w:hAnsi="仿宋" w:eastAsia="仿宋" w:cs="仿宋"/>
                <w:sz w:val="24"/>
                <w:szCs w:val="24"/>
              </w:rPr>
            </w:pPr>
            <w:r>
              <w:rPr>
                <w:rFonts w:hint="eastAsia" w:ascii="仿宋" w:hAnsi="仿宋" w:eastAsia="仿宋" w:cs="仿宋"/>
                <w:sz w:val="24"/>
                <w:szCs w:val="24"/>
              </w:rPr>
              <w:t>1号宿舍和2号宿舍中间</w:t>
            </w:r>
          </w:p>
        </w:tc>
        <w:tc>
          <w:tcPr>
            <w:tcW w:w="699" w:type="pct"/>
            <w:tcBorders>
              <w:top w:val="single" w:color="auto" w:sz="4" w:space="0"/>
              <w:left w:val="single" w:color="auto" w:sz="4" w:space="0"/>
              <w:bottom w:val="single" w:color="auto" w:sz="4" w:space="0"/>
              <w:right w:val="single" w:color="auto" w:sz="4" w:space="0"/>
            </w:tcBorders>
            <w:vAlign w:val="center"/>
          </w:tcPr>
          <w:p w14:paraId="7C5094DC">
            <w:pPr>
              <w:jc w:val="center"/>
              <w:rPr>
                <w:rFonts w:ascii="仿宋" w:hAnsi="仿宋" w:eastAsia="仿宋" w:cs="仿宋"/>
                <w:sz w:val="24"/>
                <w:szCs w:val="24"/>
              </w:rPr>
            </w:pPr>
            <w:r>
              <w:rPr>
                <w:rFonts w:hint="eastAsia" w:ascii="仿宋" w:hAnsi="仿宋" w:eastAsia="仿宋" w:cs="仿宋"/>
                <w:sz w:val="24"/>
                <w:szCs w:val="24"/>
              </w:rPr>
              <w:t>1主机5副柜2.7平方米</w:t>
            </w:r>
          </w:p>
        </w:tc>
        <w:tc>
          <w:tcPr>
            <w:tcW w:w="1083" w:type="pct"/>
            <w:tcBorders>
              <w:top w:val="single" w:color="auto" w:sz="4" w:space="0"/>
              <w:left w:val="single" w:color="auto" w:sz="4" w:space="0"/>
              <w:bottom w:val="single" w:color="auto" w:sz="4" w:space="0"/>
              <w:right w:val="single" w:color="auto" w:sz="4" w:space="0"/>
            </w:tcBorders>
            <w:vAlign w:val="center"/>
          </w:tcPr>
          <w:p w14:paraId="7C3DCA60">
            <w:pPr>
              <w:jc w:val="center"/>
              <w:rPr>
                <w:rFonts w:ascii="仿宋" w:hAnsi="仿宋" w:eastAsia="仿宋" w:cs="仿宋"/>
                <w:sz w:val="24"/>
                <w:szCs w:val="24"/>
              </w:rPr>
            </w:pPr>
            <w:r>
              <w:rPr>
                <w:rFonts w:hint="eastAsia" w:ascii="仿宋" w:hAnsi="仿宋" w:eastAsia="仿宋" w:cs="仿宋"/>
                <w:sz w:val="24"/>
                <w:szCs w:val="24"/>
              </w:rPr>
              <w:t>540*50*220</w:t>
            </w:r>
          </w:p>
        </w:tc>
        <w:tc>
          <w:tcPr>
            <w:tcW w:w="426" w:type="pct"/>
            <w:tcBorders>
              <w:top w:val="single" w:color="auto" w:sz="4" w:space="0"/>
              <w:left w:val="single" w:color="auto" w:sz="4" w:space="0"/>
              <w:bottom w:val="single" w:color="auto" w:sz="4" w:space="0"/>
              <w:right w:val="single" w:color="auto" w:sz="4" w:space="0"/>
            </w:tcBorders>
            <w:vAlign w:val="center"/>
          </w:tcPr>
          <w:p w14:paraId="7B8F5BE2">
            <w:pPr>
              <w:jc w:val="center"/>
              <w:rPr>
                <w:rFonts w:ascii="仿宋" w:hAnsi="仿宋" w:eastAsia="仿宋" w:cs="仿宋"/>
                <w:sz w:val="24"/>
                <w:szCs w:val="24"/>
              </w:rPr>
            </w:pPr>
            <w:r>
              <w:rPr>
                <w:rFonts w:hint="eastAsia" w:ascii="仿宋" w:hAnsi="仿宋" w:eastAsia="仿宋" w:cs="仿宋"/>
                <w:sz w:val="24"/>
                <w:szCs w:val="24"/>
              </w:rPr>
              <w:t>5</w:t>
            </w:r>
          </w:p>
        </w:tc>
        <w:tc>
          <w:tcPr>
            <w:tcW w:w="612" w:type="pct"/>
            <w:tcBorders>
              <w:top w:val="single" w:color="auto" w:sz="4" w:space="0"/>
              <w:left w:val="single" w:color="auto" w:sz="4" w:space="0"/>
              <w:bottom w:val="single" w:color="auto" w:sz="4" w:space="0"/>
              <w:right w:val="single" w:color="auto" w:sz="4" w:space="0"/>
            </w:tcBorders>
            <w:vAlign w:val="center"/>
          </w:tcPr>
          <w:p w14:paraId="4857A463">
            <w:pPr>
              <w:jc w:val="center"/>
              <w:rPr>
                <w:rFonts w:ascii="仿宋" w:hAnsi="仿宋" w:eastAsia="仿宋" w:cs="仿宋"/>
                <w:sz w:val="24"/>
                <w:szCs w:val="24"/>
              </w:rPr>
            </w:pPr>
            <w:r>
              <w:rPr>
                <w:rFonts w:hint="eastAsia" w:ascii="仿宋" w:hAnsi="仿宋" w:eastAsia="仿宋" w:cs="仿宋"/>
                <w:sz w:val="24"/>
                <w:szCs w:val="24"/>
              </w:rPr>
              <w:t>1500</w:t>
            </w:r>
          </w:p>
        </w:tc>
        <w:tc>
          <w:tcPr>
            <w:tcW w:w="612" w:type="pct"/>
            <w:tcBorders>
              <w:top w:val="single" w:color="auto" w:sz="4" w:space="0"/>
              <w:left w:val="single" w:color="auto" w:sz="4" w:space="0"/>
              <w:bottom w:val="single" w:color="auto" w:sz="4" w:space="0"/>
              <w:right w:val="single" w:color="auto" w:sz="4" w:space="0"/>
            </w:tcBorders>
            <w:vAlign w:val="center"/>
          </w:tcPr>
          <w:p w14:paraId="267F4867">
            <w:pPr>
              <w:jc w:val="center"/>
              <w:rPr>
                <w:rFonts w:hint="eastAsia" w:ascii="仿宋" w:hAnsi="仿宋" w:eastAsia="仿宋" w:cs="仿宋"/>
                <w:sz w:val="24"/>
                <w:szCs w:val="24"/>
              </w:rPr>
            </w:pPr>
          </w:p>
        </w:tc>
        <w:tc>
          <w:tcPr>
            <w:tcW w:w="612" w:type="pct"/>
            <w:tcBorders>
              <w:top w:val="single" w:color="auto" w:sz="4" w:space="0"/>
              <w:left w:val="single" w:color="auto" w:sz="4" w:space="0"/>
              <w:bottom w:val="single" w:color="auto" w:sz="4" w:space="0"/>
              <w:right w:val="single" w:color="auto" w:sz="4" w:space="0"/>
            </w:tcBorders>
            <w:vAlign w:val="center"/>
          </w:tcPr>
          <w:p w14:paraId="61D3EDDA">
            <w:pPr>
              <w:jc w:val="center"/>
              <w:rPr>
                <w:rFonts w:hint="eastAsia" w:ascii="仿宋" w:hAnsi="仿宋" w:eastAsia="仿宋" w:cs="仿宋"/>
                <w:sz w:val="24"/>
                <w:szCs w:val="24"/>
              </w:rPr>
            </w:pPr>
          </w:p>
        </w:tc>
      </w:tr>
    </w:tbl>
    <w:p w14:paraId="5E70570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99607B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服务方根据设备用电功率情况向采购方缴纳电费，服务方应综合考虑各项因素，因自身原因造成自行承担责任，采购方不再补偿。</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5A00C6B1">
      <w:pPr>
        <w:rPr>
          <w:rFonts w:hint="eastAsia" w:ascii="宋体" w:hAnsi="宋体" w:eastAsia="宋体" w:cs="宋体"/>
          <w:b/>
          <w:color w:val="000000" w:themeColor="text1"/>
          <w:shd w:val="clear" w:color="auto" w:fill="auto"/>
          <w14:textFill>
            <w14:solidFill>
              <w14:schemeClr w14:val="tx1"/>
            </w14:solidFill>
          </w14:textFill>
        </w:rPr>
      </w:pPr>
    </w:p>
    <w:p w14:paraId="0CAD9A01">
      <w:pPr>
        <w:rPr>
          <w:rFonts w:hint="eastAsia" w:ascii="宋体" w:hAnsi="宋体" w:eastAsia="宋体" w:cs="宋体"/>
          <w:b/>
          <w:color w:val="000000" w:themeColor="text1"/>
          <w:shd w:val="clear" w:color="auto" w:fill="auto"/>
          <w14:textFill>
            <w14:solidFill>
              <w14:schemeClr w14:val="tx1"/>
            </w14:solidFill>
          </w14:textFill>
        </w:rPr>
      </w:pPr>
    </w:p>
    <w:p w14:paraId="708E4723">
      <w:pPr>
        <w:rPr>
          <w:rFonts w:hint="eastAsia" w:ascii="宋体" w:hAnsi="宋体" w:eastAsia="宋体" w:cs="宋体"/>
          <w:b/>
          <w:color w:val="000000" w:themeColor="text1"/>
          <w:shd w:val="clear" w:color="auto" w:fill="auto"/>
          <w14:textFill>
            <w14:solidFill>
              <w14:schemeClr w14:val="tx1"/>
            </w14:solidFill>
          </w14:textFill>
        </w:rPr>
      </w:pPr>
    </w:p>
    <w:p w14:paraId="3143DC57">
      <w:pPr>
        <w:rPr>
          <w:rFonts w:hint="eastAsia" w:ascii="宋体" w:hAnsi="宋体" w:eastAsia="宋体" w:cs="宋体"/>
          <w:b/>
          <w:color w:val="000000" w:themeColor="text1"/>
          <w:shd w:val="clear" w:color="auto" w:fill="auto"/>
          <w14:textFill>
            <w14:solidFill>
              <w14:schemeClr w14:val="tx1"/>
            </w14:solidFill>
          </w14:textFill>
        </w:rPr>
      </w:pPr>
    </w:p>
    <w:p w14:paraId="32DE0E30">
      <w:pPr>
        <w:rPr>
          <w:rFonts w:hint="eastAsia" w:ascii="宋体" w:hAnsi="宋体" w:eastAsia="宋体" w:cs="宋体"/>
          <w:b/>
          <w:color w:val="000000" w:themeColor="text1"/>
          <w:shd w:val="clear" w:color="auto" w:fill="auto"/>
          <w14:textFill>
            <w14:solidFill>
              <w14:schemeClr w14:val="tx1"/>
            </w14:solidFill>
          </w14:textFill>
        </w:rPr>
      </w:pPr>
    </w:p>
    <w:p w14:paraId="2ABD6AAC">
      <w:pPr>
        <w:rPr>
          <w:rFonts w:hint="eastAsia" w:ascii="宋体" w:hAnsi="宋体" w:eastAsia="宋体" w:cs="宋体"/>
          <w:b/>
          <w:color w:val="000000" w:themeColor="text1"/>
          <w:shd w:val="clear" w:color="auto" w:fill="auto"/>
          <w14:textFill>
            <w14:solidFill>
              <w14:schemeClr w14:val="tx1"/>
            </w14:solidFill>
          </w14:textFill>
        </w:rPr>
      </w:pPr>
    </w:p>
    <w:p w14:paraId="66BF8EC3">
      <w:pPr>
        <w:rPr>
          <w:rFonts w:hint="eastAsia" w:ascii="宋体" w:hAnsi="宋体" w:eastAsia="宋体" w:cs="宋体"/>
          <w:b/>
          <w:color w:val="000000" w:themeColor="text1"/>
          <w:shd w:val="clear" w:color="auto" w:fill="auto"/>
          <w14:textFill>
            <w14:solidFill>
              <w14:schemeClr w14:val="tx1"/>
            </w14:solidFill>
          </w14:textFill>
        </w:rPr>
      </w:pPr>
    </w:p>
    <w:p w14:paraId="1792FED4">
      <w:pPr>
        <w:rPr>
          <w:rFonts w:hint="eastAsia" w:ascii="宋体" w:hAnsi="宋体" w:eastAsia="宋体" w:cs="宋体"/>
          <w:b/>
          <w:color w:val="000000" w:themeColor="text1"/>
          <w:shd w:val="clear" w:color="auto" w:fill="auto"/>
          <w14:textFill>
            <w14:solidFill>
              <w14:schemeClr w14:val="tx1"/>
            </w14:solidFill>
          </w14:textFill>
        </w:rPr>
      </w:pPr>
    </w:p>
    <w:p w14:paraId="45882ECA">
      <w:pPr>
        <w:rPr>
          <w:rFonts w:hint="eastAsia" w:ascii="宋体" w:hAnsi="宋体" w:eastAsia="宋体" w:cs="宋体"/>
          <w:b/>
          <w:color w:val="000000" w:themeColor="text1"/>
          <w:shd w:val="clear" w:color="auto" w:fill="auto"/>
          <w14:textFill>
            <w14:solidFill>
              <w14:schemeClr w14:val="tx1"/>
            </w14:solidFill>
          </w14:textFill>
        </w:rPr>
      </w:pPr>
    </w:p>
    <w:p w14:paraId="5C7B71E0">
      <w:pPr>
        <w:rPr>
          <w:rFonts w:hint="eastAsia" w:ascii="宋体" w:hAnsi="宋体" w:eastAsia="宋体" w:cs="宋体"/>
          <w:b/>
          <w:color w:val="000000" w:themeColor="text1"/>
          <w:shd w:val="clear" w:color="auto" w:fill="auto"/>
          <w14:textFill>
            <w14:solidFill>
              <w14:schemeClr w14:val="tx1"/>
            </w14:solidFill>
          </w14:textFill>
        </w:rPr>
      </w:pPr>
    </w:p>
    <w:p w14:paraId="5A934B4C">
      <w:pPr>
        <w:rPr>
          <w:rFonts w:hint="eastAsia" w:ascii="宋体" w:hAnsi="宋体" w:eastAsia="宋体" w:cs="宋体"/>
          <w:b/>
          <w:color w:val="000000" w:themeColor="text1"/>
          <w:shd w:val="clear" w:color="auto" w:fill="auto"/>
          <w14:textFill>
            <w14:solidFill>
              <w14:schemeClr w14:val="tx1"/>
            </w14:solidFill>
          </w14:textFill>
        </w:rPr>
      </w:pPr>
    </w:p>
    <w:p w14:paraId="6E50CC1B">
      <w:pPr>
        <w:rPr>
          <w:rFonts w:hint="eastAsia" w:ascii="宋体" w:hAnsi="宋体" w:eastAsia="宋体" w:cs="宋体"/>
          <w:b/>
          <w:color w:val="000000" w:themeColor="text1"/>
          <w:shd w:val="clear" w:color="auto" w:fill="auto"/>
          <w14:textFill>
            <w14:solidFill>
              <w14:schemeClr w14:val="tx1"/>
            </w14:solidFill>
          </w14:textFill>
        </w:rPr>
      </w:pPr>
    </w:p>
    <w:p w14:paraId="1A77933E">
      <w:pPr>
        <w:rPr>
          <w:rFonts w:hint="eastAsia" w:ascii="宋体" w:hAnsi="宋体" w:eastAsia="宋体" w:cs="宋体"/>
          <w:b/>
          <w:color w:val="000000" w:themeColor="text1"/>
          <w:shd w:val="clear" w:color="auto" w:fill="auto"/>
          <w14:textFill>
            <w14:solidFill>
              <w14:schemeClr w14:val="tx1"/>
            </w14:solidFill>
          </w14:textFill>
        </w:rPr>
      </w:pPr>
    </w:p>
    <w:p w14:paraId="59C6282F">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008359"/>
      <w:bookmarkStart w:id="182" w:name="_Toc313888363"/>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DD7C13-83A3-4C0E-9EC4-50C0AFB89F0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D25DBE01-6660-4077-8E45-D39BC308F8DB}"/>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A238910C-8E6E-4B9A-807E-5F170EFE48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83815"/>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D673F"/>
    <w:rsid w:val="022C27C5"/>
    <w:rsid w:val="027473BF"/>
    <w:rsid w:val="02CB7F49"/>
    <w:rsid w:val="02D84414"/>
    <w:rsid w:val="02FE0C09"/>
    <w:rsid w:val="037759DB"/>
    <w:rsid w:val="03BB3ADF"/>
    <w:rsid w:val="03C2134C"/>
    <w:rsid w:val="04DA26C6"/>
    <w:rsid w:val="04DE1E0F"/>
    <w:rsid w:val="04F00597"/>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97C21"/>
    <w:rsid w:val="29AE525D"/>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ED360E"/>
    <w:rsid w:val="31CA4358"/>
    <w:rsid w:val="31FA7479"/>
    <w:rsid w:val="32050A97"/>
    <w:rsid w:val="32284BF5"/>
    <w:rsid w:val="32DA1DD4"/>
    <w:rsid w:val="33323C73"/>
    <w:rsid w:val="333A0B2D"/>
    <w:rsid w:val="333F5C66"/>
    <w:rsid w:val="3361798A"/>
    <w:rsid w:val="33861085"/>
    <w:rsid w:val="34477E1A"/>
    <w:rsid w:val="34B44507"/>
    <w:rsid w:val="35687566"/>
    <w:rsid w:val="35B15F88"/>
    <w:rsid w:val="35D501BC"/>
    <w:rsid w:val="35E87A5C"/>
    <w:rsid w:val="3608331B"/>
    <w:rsid w:val="36382C0F"/>
    <w:rsid w:val="36725171"/>
    <w:rsid w:val="36834056"/>
    <w:rsid w:val="369E1EBF"/>
    <w:rsid w:val="369E4A52"/>
    <w:rsid w:val="36A73740"/>
    <w:rsid w:val="36EC0B56"/>
    <w:rsid w:val="37542B62"/>
    <w:rsid w:val="375A306E"/>
    <w:rsid w:val="37D83F93"/>
    <w:rsid w:val="382D2437"/>
    <w:rsid w:val="38390E08"/>
    <w:rsid w:val="38442273"/>
    <w:rsid w:val="385D0EF3"/>
    <w:rsid w:val="389536A9"/>
    <w:rsid w:val="38C010B0"/>
    <w:rsid w:val="38E86458"/>
    <w:rsid w:val="38EB2B69"/>
    <w:rsid w:val="391C67AE"/>
    <w:rsid w:val="39486CC3"/>
    <w:rsid w:val="39A3534F"/>
    <w:rsid w:val="39D65068"/>
    <w:rsid w:val="3A182084"/>
    <w:rsid w:val="3AA25DEC"/>
    <w:rsid w:val="3AC648F5"/>
    <w:rsid w:val="3B30241A"/>
    <w:rsid w:val="3B5B756F"/>
    <w:rsid w:val="3B870893"/>
    <w:rsid w:val="3C4F6F1A"/>
    <w:rsid w:val="3D2F290C"/>
    <w:rsid w:val="3D462EBD"/>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907CE"/>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E95A32"/>
    <w:rsid w:val="455E6EF1"/>
    <w:rsid w:val="45AC0F39"/>
    <w:rsid w:val="461B60BF"/>
    <w:rsid w:val="46C96141"/>
    <w:rsid w:val="46D06FAA"/>
    <w:rsid w:val="475461C4"/>
    <w:rsid w:val="477A0BC3"/>
    <w:rsid w:val="47D41743"/>
    <w:rsid w:val="47D63DB2"/>
    <w:rsid w:val="47F3755A"/>
    <w:rsid w:val="482B71EF"/>
    <w:rsid w:val="487D04F4"/>
    <w:rsid w:val="48A31EA1"/>
    <w:rsid w:val="48BF6CAD"/>
    <w:rsid w:val="48FA020D"/>
    <w:rsid w:val="492C6FBB"/>
    <w:rsid w:val="499D1F70"/>
    <w:rsid w:val="4A1025A8"/>
    <w:rsid w:val="4A832C17"/>
    <w:rsid w:val="4A9100D0"/>
    <w:rsid w:val="4AC26B09"/>
    <w:rsid w:val="4AD41B9B"/>
    <w:rsid w:val="4AED1C9D"/>
    <w:rsid w:val="4B597B89"/>
    <w:rsid w:val="4BE8259F"/>
    <w:rsid w:val="4C025EBB"/>
    <w:rsid w:val="4C2E71C3"/>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A7776"/>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6F734B3A"/>
    <w:rsid w:val="70E64A50"/>
    <w:rsid w:val="71231A63"/>
    <w:rsid w:val="714B6E37"/>
    <w:rsid w:val="71C72BEE"/>
    <w:rsid w:val="72841954"/>
    <w:rsid w:val="72AA2579"/>
    <w:rsid w:val="73605009"/>
    <w:rsid w:val="73614D85"/>
    <w:rsid w:val="7363682B"/>
    <w:rsid w:val="739465A0"/>
    <w:rsid w:val="73A82490"/>
    <w:rsid w:val="73AA3664"/>
    <w:rsid w:val="73B34AD5"/>
    <w:rsid w:val="73D42B6E"/>
    <w:rsid w:val="743B3E3F"/>
    <w:rsid w:val="74A63C4A"/>
    <w:rsid w:val="74E41D61"/>
    <w:rsid w:val="765A00C6"/>
    <w:rsid w:val="76995E63"/>
    <w:rsid w:val="77452BA0"/>
    <w:rsid w:val="774923FD"/>
    <w:rsid w:val="777E28EC"/>
    <w:rsid w:val="77B52272"/>
    <w:rsid w:val="77E837A3"/>
    <w:rsid w:val="78120C80"/>
    <w:rsid w:val="783A1618"/>
    <w:rsid w:val="788222E3"/>
    <w:rsid w:val="7908485F"/>
    <w:rsid w:val="7936053E"/>
    <w:rsid w:val="793F0B2C"/>
    <w:rsid w:val="794B322E"/>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075BE0"/>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10771</Words>
  <Characters>10969</Characters>
  <Lines>182</Lines>
  <Paragraphs>51</Paragraphs>
  <TotalTime>1</TotalTime>
  <ScaleCrop>false</ScaleCrop>
  <LinksUpToDate>false</LinksUpToDate>
  <CharactersWithSpaces>11058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2026-04-02T00:40:40Z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