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2026FW035</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负压吸引装置采购</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四月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color w:val="000000" w:themeColor="text1"/>
          <w:kern w:val="2"/>
          <w:sz w:val="44"/>
          <w:szCs w:val="44"/>
          <w:lang w:val="en-US" w:eastAsia="zh-CN" w:bidi="ar-SA"/>
          <w14:textFill>
            <w14:solidFill>
              <w14:schemeClr w14:val="tx1"/>
            </w14:solidFill>
          </w14:textFill>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color w:val="000000" w:themeColor="text1"/>
              <w:sz w:val="44"/>
              <w:szCs w:val="44"/>
              <w14:textFill>
                <w14:solidFill>
                  <w14:schemeClr w14:val="tx1"/>
                </w14:solidFill>
              </w14:textFill>
            </w:rPr>
          </w:pPr>
          <w:r>
            <w:rPr>
              <w:rFonts w:ascii="宋体" w:hAnsi="宋体" w:eastAsia="宋体"/>
              <w:color w:val="000000" w:themeColor="text1"/>
              <w:sz w:val="44"/>
              <w:szCs w:val="44"/>
              <w14:textFill>
                <w14:solidFill>
                  <w14:schemeClr w14:val="tx1"/>
                </w14:solidFill>
              </w14:textFill>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_Toc23588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_Toc23588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_Toc25322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_Toc25322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_Toc7206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_Toc17014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_Toc17014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_Toc26989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_Toc26989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_Toc14085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_Toc14085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_Toc5685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zCs w:val="24"/>
              <w:shd w:val="clear" w:color="auto" w:fill="auto"/>
              <w:lang w:eastAsia="zh-CN"/>
              <w14:textFill>
                <w14:solidFill>
                  <w14:schemeClr w14:val="tx1"/>
                </w14:solidFill>
              </w14:textFill>
            </w:rPr>
            <w:t>（一）</w:t>
          </w:r>
          <w:r>
            <w:rPr>
              <w:rFonts w:hint="eastAsia" w:ascii="宋体" w:hAnsi="宋体" w:eastAsia="宋体" w:cs="宋体"/>
              <w:color w:val="000000" w:themeColor="text1"/>
              <w:szCs w:val="24"/>
              <w:shd w:val="clear" w:color="auto" w:fill="auto"/>
              <w14:textFill>
                <w14:solidFill>
                  <w14:schemeClr w14:val="tx1"/>
                </w14:solidFill>
              </w14:textFill>
            </w:rPr>
            <w:t>其他应提供的资料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_Toc5685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_Toc12908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（二）</w:t>
          </w:r>
          <w:r>
            <w:rPr>
              <w:rFonts w:hint="eastAsia" w:ascii="宋体" w:hAnsi="宋体" w:eastAsia="宋体" w:cs="宋体"/>
              <w:color w:val="000000" w:themeColor="text1"/>
              <w:shd w:val="clear" w:color="auto" w:fill="auto"/>
              <w14:textFill>
                <w14:solidFill>
                  <w14:schemeClr w14:val="tx1"/>
                </w14:solidFill>
              </w14:textFill>
            </w:rPr>
            <w:t>服务部分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_Toc12908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_Toc15203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（三）</w:t>
          </w:r>
          <w:r>
            <w:rPr>
              <w:rFonts w:hint="eastAsia" w:ascii="宋体" w:hAnsi="宋体" w:eastAsia="宋体" w:cs="宋体"/>
              <w:color w:val="000000" w:themeColor="text1"/>
              <w:shd w:val="clear" w:color="auto" w:fill="auto"/>
              <w14:textFill>
                <w14:solidFill>
                  <w14:schemeClr w14:val="tx1"/>
                </w14:solidFill>
              </w14:textFill>
            </w:rPr>
            <w:t>商务部分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_Toc15203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_Toc9941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（四）</w:t>
          </w:r>
          <w:r>
            <w:rPr>
              <w:rFonts w:hint="eastAsia" w:ascii="宋体" w:hAnsi="宋体" w:eastAsia="宋体" w:cs="宋体"/>
              <w:color w:val="000000" w:themeColor="text1"/>
              <w:shd w:val="clear" w:color="auto" w:fill="auto"/>
              <w14:textFill>
                <w14:solidFill>
                  <w14:schemeClr w14:val="tx1"/>
                </w14:solidFill>
              </w14:textFill>
            </w:rPr>
            <w:t>资格条件及其他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_Toc9941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2789052"/>
      <w:bookmarkStart w:id="1" w:name="_Toc485108766"/>
      <w:bookmarkStart w:id="2" w:name="_Toc23588"/>
      <w:bookmarkStart w:id="3" w:name="_Toc6921"/>
      <w:bookmarkStart w:id="4" w:name="_Toc25875"/>
      <w:bookmarkStart w:id="5" w:name="_Toc11641050"/>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负压吸引装置采购</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485108767"/>
      <w:bookmarkStart w:id="9" w:name="_Toc317775175"/>
      <w:bookmarkStart w:id="10" w:name="_Toc28443"/>
      <w:bookmarkStart w:id="11" w:name="_Toc313893526"/>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负压吸引装置采购</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合同期限：自签订之日起三年</w:t>
            </w:r>
          </w:p>
        </w:tc>
      </w:tr>
    </w:tbl>
    <w:p w14:paraId="00DB30B5">
      <w:pPr>
        <w:spacing w:line="560" w:lineRule="exact"/>
        <w:jc w:val="left"/>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：医院自筹,预算金额：5.95万元。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485108774"/>
      <w:bookmarkStart w:id="19" w:name="_Toc102227313"/>
    </w:p>
    <w:bookmarkEnd w:id="16"/>
    <w:bookmarkEnd w:id="17"/>
    <w:p w14:paraId="7B1BB4FE">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四、比选有关说明</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13</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Start w:id="189" w:name="_GoBack"/>
      <w:bookmarkEnd w:id="189"/>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171062"/>
      <w:bookmarkStart w:id="24" w:name="_Toc373860294"/>
      <w:bookmarkStart w:id="25" w:name="_Toc54718176"/>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1625"/>
      <w:bookmarkStart w:id="27" w:name="_Toc2806"/>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1E28655E">
      <w:pPr>
        <w:snapToGrid w:val="0"/>
        <w:spacing w:line="400" w:lineRule="exact"/>
        <w:ind w:firstLine="480" w:firstLineChars="200"/>
        <w:jc w:val="left"/>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价方式：按照报价表进行报价。单价为包干价，包含但不限于运输费、货款保险费、税费等各项费用，以及成交供应商人工工资、奖金、福利、社保、管理、交通、运输、利润、税金、风险费等在内的所有费用。因成交供应商自身原因造成漏报、少报皆由其自行承担责任，采购人不再补偿。(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9"/>
      <w:bookmarkStart w:id="38" w:name="OLE_LINK3"/>
      <w:bookmarkStart w:id="39"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02227319"/>
      <w:bookmarkStart w:id="41" w:name="_Toc403569780"/>
      <w:bookmarkStart w:id="42" w:name="_Toc342913393"/>
      <w:bookmarkStart w:id="43" w:name="_Toc19143"/>
      <w:bookmarkStart w:id="44" w:name="_Toc179714298"/>
      <w:bookmarkStart w:id="45" w:name="_Toc18122"/>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14247"/>
      <w:bookmarkStart w:id="47" w:name="_Toc28776"/>
      <w:bookmarkStart w:id="48" w:name="_Toc403569781"/>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14816"/>
      <w:bookmarkStart w:id="52" w:name="_Toc29340"/>
      <w:bookmarkStart w:id="53"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342913395"/>
      <w:bookmarkStart w:id="55" w:name="_Toc3212"/>
      <w:bookmarkStart w:id="56" w:name="_Toc102227321"/>
      <w:bookmarkStart w:id="57" w:name="_Toc7135"/>
      <w:bookmarkStart w:id="58" w:name="_Toc403569783"/>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7413"/>
      <w:bookmarkStart w:id="60" w:name="_Toc403569784"/>
      <w:bookmarkStart w:id="61" w:name="_Toc12880"/>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403569785"/>
      <w:bookmarkStart w:id="64" w:name="_Toc342913396"/>
      <w:bookmarkStart w:id="65"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0F45644A">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7" w:name="_Toc485108784"/>
      <w:bookmarkStart w:id="68" w:name="_Toc11770"/>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28327"/>
      <w:bookmarkStart w:id="72" w:name="_Toc12789058"/>
      <w:bookmarkStart w:id="73"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0F18C385">
      <w:pPr>
        <w:snapToGrid w:val="0"/>
        <w:spacing w:line="400" w:lineRule="exact"/>
        <w:ind w:firstLine="480" w:firstLineChars="200"/>
        <w:rPr>
          <w:rFonts w:hint="eastAsia" w:ascii="宋体" w:hAnsi="宋体" w:eastAsia="宋体" w:cs="宋体"/>
          <w:color w:val="FF0000"/>
          <w:sz w:val="24"/>
          <w:szCs w:val="24"/>
          <w:shd w:val="clear" w:color="auto" w:fill="auto"/>
        </w:rPr>
      </w:pPr>
      <w:bookmarkStart w:id="74" w:name="_Toc4364"/>
      <w:bookmarkStart w:id="75" w:name="_Toc17014"/>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产品名称：负压吸引装置</w:t>
      </w:r>
    </w:p>
    <w:p w14:paraId="48738F4A">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rPr>
        <w:t>产品结构：负压吸引装置由：流量调节旋钮、真空压力表、阀体、负压调节旋钮、气源接头、真空管、间歇吸引阀接咀、瓶盖、连接管接头、挂钩、浮子、安全集液瓶（带刻度线）、吸引管。</w:t>
      </w:r>
    </w:p>
    <w:p w14:paraId="0B60686F">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3.产品性能要求：</w:t>
      </w:r>
    </w:p>
    <w:p w14:paraId="0BF6E613">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①负压吸引装置的负压在大气环境下不高于0.02Mpa（150mmHg）,不低于0.07Mpa(525mmHg)，并能在该范围内任意调节。</w:t>
      </w:r>
    </w:p>
    <w:p w14:paraId="14A792B5">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②吸入的液体至安全集液瓶最大标定容量时或充满安全集液瓶时，浮子应封住吸引口，并自动停止吸引，以防吸入的液体抽吸到流量调节阀和负压管路系统内。</w:t>
      </w:r>
    </w:p>
    <w:p w14:paraId="1464EA94">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③吸引装置的气源接头应采用快速接头，与终端接头的配合应有良好的互换性、装卸方便、锁紧可靠，在压力-0.07Mpa条件下，终端接头与接头连接处无泄漏现象；同时在不大于-0.02Mpa负压作用下，瓶体和导管不应产生吸瘪或变形；需与我院兴龙湖院区设备带、吊塔、吊桥终端相匹配。</w:t>
      </w:r>
    </w:p>
    <w:p w14:paraId="3E0E13E8">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④负压吸引装置的真空表精度2.5级量程为0~-0.1Mpa。</w:t>
      </w:r>
    </w:p>
    <w:p w14:paraId="4AD74269">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4.项目需求表：</w:t>
      </w:r>
    </w:p>
    <w:tbl>
      <w:tblPr>
        <w:tblStyle w:val="59"/>
        <w:tblW w:w="8819" w:type="dxa"/>
        <w:tblInd w:w="327" w:type="dxa"/>
        <w:tblLayout w:type="autofit"/>
        <w:tblCellMar>
          <w:top w:w="0" w:type="dxa"/>
          <w:left w:w="108" w:type="dxa"/>
          <w:bottom w:w="0" w:type="dxa"/>
          <w:right w:w="108" w:type="dxa"/>
        </w:tblCellMar>
      </w:tblPr>
      <w:tblGrid>
        <w:gridCol w:w="811"/>
        <w:gridCol w:w="1755"/>
        <w:gridCol w:w="1066"/>
        <w:gridCol w:w="850"/>
        <w:gridCol w:w="1066"/>
        <w:gridCol w:w="896"/>
        <w:gridCol w:w="2375"/>
      </w:tblGrid>
      <w:tr w14:paraId="32CBAF93">
        <w:tblPrEx>
          <w:tblCellMar>
            <w:top w:w="0" w:type="dxa"/>
            <w:left w:w="108" w:type="dxa"/>
            <w:bottom w:w="0" w:type="dxa"/>
            <w:right w:w="108" w:type="dxa"/>
          </w:tblCellMar>
        </w:tblPrEx>
        <w:trPr>
          <w:trHeight w:val="570" w:hRule="atLeast"/>
        </w:trPr>
        <w:tc>
          <w:tcPr>
            <w:tcW w:w="811" w:type="dxa"/>
            <w:tcBorders>
              <w:top w:val="single" w:color="auto" w:sz="4" w:space="0"/>
              <w:left w:val="single" w:color="auto" w:sz="4" w:space="0"/>
              <w:bottom w:val="single" w:color="auto" w:sz="4" w:space="0"/>
              <w:right w:val="single" w:color="auto" w:sz="4" w:space="0"/>
            </w:tcBorders>
            <w:noWrap/>
            <w:vAlign w:val="center"/>
          </w:tcPr>
          <w:p w14:paraId="757E98BB">
            <w:pPr>
              <w:widowControl/>
              <w:jc w:val="center"/>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序号</w:t>
            </w:r>
          </w:p>
        </w:tc>
        <w:tc>
          <w:tcPr>
            <w:tcW w:w="1755" w:type="dxa"/>
            <w:tcBorders>
              <w:top w:val="single" w:color="auto" w:sz="4" w:space="0"/>
              <w:left w:val="nil"/>
              <w:bottom w:val="single" w:color="auto" w:sz="4" w:space="0"/>
              <w:right w:val="single" w:color="auto" w:sz="4" w:space="0"/>
            </w:tcBorders>
            <w:noWrap/>
            <w:vAlign w:val="center"/>
          </w:tcPr>
          <w:p w14:paraId="29A9A709">
            <w:pPr>
              <w:widowControl/>
              <w:jc w:val="center"/>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产品名称</w:t>
            </w:r>
          </w:p>
        </w:tc>
        <w:tc>
          <w:tcPr>
            <w:tcW w:w="1066" w:type="dxa"/>
            <w:tcBorders>
              <w:top w:val="single" w:color="auto" w:sz="4" w:space="0"/>
              <w:left w:val="nil"/>
              <w:bottom w:val="single" w:color="auto" w:sz="4" w:space="0"/>
              <w:right w:val="single" w:color="auto" w:sz="4" w:space="0"/>
            </w:tcBorders>
            <w:noWrap/>
            <w:vAlign w:val="center"/>
          </w:tcPr>
          <w:p w14:paraId="3CCE3724">
            <w:pPr>
              <w:widowControl/>
              <w:jc w:val="center"/>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规格型号</w:t>
            </w:r>
          </w:p>
        </w:tc>
        <w:tc>
          <w:tcPr>
            <w:tcW w:w="850" w:type="dxa"/>
            <w:tcBorders>
              <w:top w:val="single" w:color="auto" w:sz="4" w:space="0"/>
              <w:left w:val="nil"/>
              <w:bottom w:val="single" w:color="auto" w:sz="4" w:space="0"/>
              <w:right w:val="single" w:color="auto" w:sz="4" w:space="0"/>
            </w:tcBorders>
            <w:noWrap/>
            <w:vAlign w:val="center"/>
          </w:tcPr>
          <w:p w14:paraId="007A6780">
            <w:pPr>
              <w:widowControl/>
              <w:jc w:val="center"/>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数量</w:t>
            </w:r>
          </w:p>
        </w:tc>
        <w:tc>
          <w:tcPr>
            <w:tcW w:w="1066" w:type="dxa"/>
            <w:tcBorders>
              <w:top w:val="single" w:color="auto" w:sz="4" w:space="0"/>
              <w:left w:val="nil"/>
              <w:bottom w:val="single" w:color="auto" w:sz="4" w:space="0"/>
              <w:right w:val="single" w:color="auto" w:sz="4" w:space="0"/>
            </w:tcBorders>
            <w:noWrap/>
            <w:vAlign w:val="center"/>
          </w:tcPr>
          <w:p w14:paraId="0B724F63">
            <w:pPr>
              <w:widowControl/>
              <w:jc w:val="center"/>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单位</w:t>
            </w:r>
          </w:p>
        </w:tc>
        <w:tc>
          <w:tcPr>
            <w:tcW w:w="896" w:type="dxa"/>
            <w:tcBorders>
              <w:top w:val="single" w:color="auto" w:sz="4" w:space="0"/>
              <w:left w:val="nil"/>
              <w:bottom w:val="single" w:color="auto" w:sz="4" w:space="0"/>
              <w:right w:val="single" w:color="auto" w:sz="4" w:space="0"/>
            </w:tcBorders>
            <w:noWrap w:val="0"/>
            <w:vAlign w:val="center"/>
          </w:tcPr>
          <w:p w14:paraId="3BEBB325">
            <w:pPr>
              <w:widowControl/>
              <w:jc w:val="center"/>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单价</w:t>
            </w:r>
          </w:p>
        </w:tc>
        <w:tc>
          <w:tcPr>
            <w:tcW w:w="2375" w:type="dxa"/>
            <w:tcBorders>
              <w:top w:val="single" w:color="auto" w:sz="4" w:space="0"/>
              <w:left w:val="single" w:color="auto" w:sz="4" w:space="0"/>
              <w:bottom w:val="single" w:color="auto" w:sz="4" w:space="0"/>
              <w:right w:val="single" w:color="auto" w:sz="4" w:space="0"/>
            </w:tcBorders>
            <w:noWrap/>
            <w:vAlign w:val="center"/>
          </w:tcPr>
          <w:p w14:paraId="3DA1E401">
            <w:pPr>
              <w:widowControl/>
              <w:jc w:val="center"/>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备注</w:t>
            </w:r>
          </w:p>
        </w:tc>
      </w:tr>
      <w:tr w14:paraId="3B2BA4D3">
        <w:tblPrEx>
          <w:tblCellMar>
            <w:top w:w="0" w:type="dxa"/>
            <w:left w:w="108" w:type="dxa"/>
            <w:bottom w:w="0" w:type="dxa"/>
            <w:right w:w="108" w:type="dxa"/>
          </w:tblCellMar>
        </w:tblPrEx>
        <w:trPr>
          <w:trHeight w:val="826" w:hRule="atLeast"/>
        </w:trPr>
        <w:tc>
          <w:tcPr>
            <w:tcW w:w="811" w:type="dxa"/>
            <w:tcBorders>
              <w:top w:val="nil"/>
              <w:left w:val="single" w:color="auto" w:sz="4" w:space="0"/>
              <w:bottom w:val="single" w:color="auto" w:sz="4" w:space="0"/>
              <w:right w:val="single" w:color="auto" w:sz="4" w:space="0"/>
            </w:tcBorders>
            <w:noWrap w:val="0"/>
            <w:vAlign w:val="center"/>
          </w:tcPr>
          <w:p w14:paraId="7F607A9F">
            <w:pPr>
              <w:widowControl/>
              <w:jc w:val="center"/>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1</w:t>
            </w:r>
          </w:p>
        </w:tc>
        <w:tc>
          <w:tcPr>
            <w:tcW w:w="1755" w:type="dxa"/>
            <w:tcBorders>
              <w:top w:val="nil"/>
              <w:left w:val="nil"/>
              <w:bottom w:val="single" w:color="auto" w:sz="4" w:space="0"/>
              <w:right w:val="single" w:color="auto" w:sz="4" w:space="0"/>
            </w:tcBorders>
            <w:noWrap w:val="0"/>
            <w:vAlign w:val="center"/>
          </w:tcPr>
          <w:p w14:paraId="500A5D5E">
            <w:pPr>
              <w:widowControl/>
              <w:jc w:val="center"/>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吸引调节阀（表头）</w:t>
            </w:r>
          </w:p>
        </w:tc>
        <w:tc>
          <w:tcPr>
            <w:tcW w:w="1066" w:type="dxa"/>
            <w:tcBorders>
              <w:top w:val="nil"/>
              <w:left w:val="nil"/>
              <w:bottom w:val="single" w:color="auto" w:sz="4" w:space="0"/>
              <w:right w:val="single" w:color="auto" w:sz="4" w:space="0"/>
            </w:tcBorders>
            <w:noWrap w:val="0"/>
            <w:vAlign w:val="center"/>
          </w:tcPr>
          <w:p w14:paraId="1302F3CA">
            <w:pPr>
              <w:widowControl/>
              <w:jc w:val="center"/>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　</w:t>
            </w:r>
          </w:p>
        </w:tc>
        <w:tc>
          <w:tcPr>
            <w:tcW w:w="850" w:type="dxa"/>
            <w:tcBorders>
              <w:top w:val="nil"/>
              <w:left w:val="nil"/>
              <w:bottom w:val="single" w:color="auto" w:sz="4" w:space="0"/>
              <w:right w:val="single" w:color="auto" w:sz="4" w:space="0"/>
            </w:tcBorders>
            <w:noWrap w:val="0"/>
            <w:vAlign w:val="center"/>
          </w:tcPr>
          <w:p w14:paraId="3F4DCE76">
            <w:pPr>
              <w:widowControl/>
              <w:jc w:val="center"/>
              <w:rPr>
                <w:rFonts w:hint="eastAsia" w:ascii="宋体" w:hAnsi="宋体" w:eastAsia="宋体" w:cs="宋体"/>
                <w:color w:val="FF0000"/>
                <w:kern w:val="0"/>
                <w:sz w:val="21"/>
                <w:szCs w:val="21"/>
                <w:lang w:val="en-US" w:eastAsia="zh-CN"/>
              </w:rPr>
            </w:pPr>
            <w:r>
              <w:rPr>
                <w:rFonts w:hint="eastAsia" w:ascii="宋体" w:hAnsi="宋体" w:eastAsia="宋体" w:cs="宋体"/>
                <w:color w:val="FF0000"/>
                <w:kern w:val="0"/>
                <w:sz w:val="21"/>
                <w:szCs w:val="21"/>
                <w:lang w:val="en-US" w:eastAsia="zh-CN"/>
              </w:rPr>
              <w:t>350</w:t>
            </w:r>
          </w:p>
        </w:tc>
        <w:tc>
          <w:tcPr>
            <w:tcW w:w="1066" w:type="dxa"/>
            <w:tcBorders>
              <w:top w:val="nil"/>
              <w:left w:val="nil"/>
              <w:bottom w:val="single" w:color="auto" w:sz="4" w:space="0"/>
              <w:right w:val="single" w:color="auto" w:sz="4" w:space="0"/>
            </w:tcBorders>
            <w:noWrap w:val="0"/>
            <w:vAlign w:val="center"/>
          </w:tcPr>
          <w:p w14:paraId="5B3034DB">
            <w:pPr>
              <w:widowControl/>
              <w:jc w:val="center"/>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个</w:t>
            </w:r>
          </w:p>
        </w:tc>
        <w:tc>
          <w:tcPr>
            <w:tcW w:w="896" w:type="dxa"/>
            <w:tcBorders>
              <w:top w:val="single" w:color="auto" w:sz="4" w:space="0"/>
              <w:left w:val="nil"/>
              <w:bottom w:val="single" w:color="auto" w:sz="4" w:space="0"/>
              <w:right w:val="single" w:color="auto" w:sz="4" w:space="0"/>
            </w:tcBorders>
            <w:noWrap w:val="0"/>
            <w:vAlign w:val="center"/>
          </w:tcPr>
          <w:p w14:paraId="784CE899">
            <w:pPr>
              <w:widowControl/>
              <w:jc w:val="center"/>
              <w:rPr>
                <w:rFonts w:hint="eastAsia" w:ascii="宋体" w:hAnsi="宋体" w:eastAsia="宋体" w:cs="宋体"/>
                <w:color w:val="FF0000"/>
                <w:kern w:val="0"/>
                <w:sz w:val="21"/>
                <w:szCs w:val="21"/>
              </w:rPr>
            </w:pPr>
          </w:p>
        </w:tc>
        <w:tc>
          <w:tcPr>
            <w:tcW w:w="2375" w:type="dxa"/>
            <w:tcBorders>
              <w:top w:val="nil"/>
              <w:left w:val="single" w:color="auto" w:sz="4" w:space="0"/>
              <w:bottom w:val="single" w:color="auto" w:sz="4" w:space="0"/>
              <w:right w:val="single" w:color="auto" w:sz="4" w:space="0"/>
            </w:tcBorders>
            <w:noWrap w:val="0"/>
            <w:vAlign w:val="center"/>
          </w:tcPr>
          <w:p w14:paraId="5D3DC293">
            <w:pPr>
              <w:widowControl/>
              <w:jc w:val="center"/>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国标插拔头</w:t>
            </w:r>
          </w:p>
        </w:tc>
      </w:tr>
      <w:tr w14:paraId="5B8028A4">
        <w:tblPrEx>
          <w:tblCellMar>
            <w:top w:w="0" w:type="dxa"/>
            <w:left w:w="108" w:type="dxa"/>
            <w:bottom w:w="0" w:type="dxa"/>
            <w:right w:w="108" w:type="dxa"/>
          </w:tblCellMar>
        </w:tblPrEx>
        <w:trPr>
          <w:trHeight w:val="720" w:hRule="atLeast"/>
        </w:trPr>
        <w:tc>
          <w:tcPr>
            <w:tcW w:w="811" w:type="dxa"/>
            <w:tcBorders>
              <w:top w:val="nil"/>
              <w:left w:val="single" w:color="auto" w:sz="4" w:space="0"/>
              <w:bottom w:val="single" w:color="auto" w:sz="4" w:space="0"/>
              <w:right w:val="single" w:color="auto" w:sz="4" w:space="0"/>
            </w:tcBorders>
            <w:noWrap w:val="0"/>
            <w:vAlign w:val="center"/>
          </w:tcPr>
          <w:p w14:paraId="06FC660F">
            <w:pPr>
              <w:widowControl/>
              <w:jc w:val="center"/>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2</w:t>
            </w:r>
          </w:p>
        </w:tc>
        <w:tc>
          <w:tcPr>
            <w:tcW w:w="1755" w:type="dxa"/>
            <w:tcBorders>
              <w:top w:val="nil"/>
              <w:left w:val="nil"/>
              <w:bottom w:val="single" w:color="auto" w:sz="4" w:space="0"/>
              <w:right w:val="single" w:color="auto" w:sz="4" w:space="0"/>
            </w:tcBorders>
            <w:noWrap w:val="0"/>
            <w:vAlign w:val="center"/>
          </w:tcPr>
          <w:p w14:paraId="5DA8B357">
            <w:pPr>
              <w:widowControl/>
              <w:jc w:val="center"/>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连接管</w:t>
            </w:r>
          </w:p>
        </w:tc>
        <w:tc>
          <w:tcPr>
            <w:tcW w:w="1066" w:type="dxa"/>
            <w:tcBorders>
              <w:top w:val="nil"/>
              <w:left w:val="nil"/>
              <w:bottom w:val="single" w:color="auto" w:sz="4" w:space="0"/>
              <w:right w:val="single" w:color="auto" w:sz="4" w:space="0"/>
            </w:tcBorders>
            <w:noWrap w:val="0"/>
            <w:vAlign w:val="center"/>
          </w:tcPr>
          <w:p w14:paraId="342F89CA">
            <w:pPr>
              <w:widowControl/>
              <w:jc w:val="center"/>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　</w:t>
            </w:r>
          </w:p>
        </w:tc>
        <w:tc>
          <w:tcPr>
            <w:tcW w:w="850" w:type="dxa"/>
            <w:tcBorders>
              <w:top w:val="nil"/>
              <w:left w:val="nil"/>
              <w:bottom w:val="single" w:color="auto" w:sz="4" w:space="0"/>
              <w:right w:val="single" w:color="auto" w:sz="4" w:space="0"/>
            </w:tcBorders>
            <w:noWrap w:val="0"/>
            <w:vAlign w:val="center"/>
          </w:tcPr>
          <w:p w14:paraId="2A4D4B90">
            <w:pPr>
              <w:widowControl/>
              <w:jc w:val="center"/>
              <w:rPr>
                <w:rFonts w:hint="eastAsia" w:ascii="宋体" w:hAnsi="宋体" w:eastAsia="宋体" w:cs="宋体"/>
                <w:color w:val="FF0000"/>
                <w:kern w:val="0"/>
                <w:sz w:val="21"/>
                <w:szCs w:val="21"/>
                <w:lang w:val="en-US" w:eastAsia="zh-CN"/>
              </w:rPr>
            </w:pPr>
            <w:r>
              <w:rPr>
                <w:rFonts w:hint="eastAsia" w:ascii="宋体" w:hAnsi="宋体" w:eastAsia="宋体" w:cs="宋体"/>
                <w:color w:val="FF0000"/>
                <w:kern w:val="0"/>
                <w:sz w:val="21"/>
                <w:szCs w:val="21"/>
                <w:lang w:val="en-US" w:eastAsia="zh-CN"/>
              </w:rPr>
              <w:t>350</w:t>
            </w:r>
          </w:p>
        </w:tc>
        <w:tc>
          <w:tcPr>
            <w:tcW w:w="1066" w:type="dxa"/>
            <w:tcBorders>
              <w:top w:val="nil"/>
              <w:left w:val="nil"/>
              <w:bottom w:val="single" w:color="auto" w:sz="4" w:space="0"/>
              <w:right w:val="single" w:color="auto" w:sz="4" w:space="0"/>
            </w:tcBorders>
            <w:noWrap w:val="0"/>
            <w:vAlign w:val="center"/>
          </w:tcPr>
          <w:p w14:paraId="507561EE">
            <w:pPr>
              <w:widowControl/>
              <w:jc w:val="center"/>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根</w:t>
            </w:r>
          </w:p>
        </w:tc>
        <w:tc>
          <w:tcPr>
            <w:tcW w:w="896" w:type="dxa"/>
            <w:tcBorders>
              <w:top w:val="single" w:color="auto" w:sz="4" w:space="0"/>
              <w:left w:val="nil"/>
              <w:bottom w:val="single" w:color="auto" w:sz="4" w:space="0"/>
              <w:right w:val="single" w:color="auto" w:sz="4" w:space="0"/>
            </w:tcBorders>
            <w:noWrap w:val="0"/>
            <w:vAlign w:val="center"/>
          </w:tcPr>
          <w:p w14:paraId="7B020DD9">
            <w:pPr>
              <w:widowControl/>
              <w:jc w:val="center"/>
              <w:rPr>
                <w:rFonts w:hint="eastAsia" w:ascii="宋体" w:hAnsi="宋体" w:eastAsia="宋体" w:cs="宋体"/>
                <w:color w:val="FF0000"/>
                <w:kern w:val="0"/>
                <w:sz w:val="21"/>
                <w:szCs w:val="21"/>
              </w:rPr>
            </w:pPr>
          </w:p>
        </w:tc>
        <w:tc>
          <w:tcPr>
            <w:tcW w:w="2375" w:type="dxa"/>
            <w:tcBorders>
              <w:top w:val="nil"/>
              <w:left w:val="single" w:color="auto" w:sz="4" w:space="0"/>
              <w:bottom w:val="single" w:color="auto" w:sz="4" w:space="0"/>
              <w:right w:val="single" w:color="auto" w:sz="4" w:space="0"/>
            </w:tcBorders>
            <w:noWrap w:val="0"/>
            <w:vAlign w:val="center"/>
          </w:tcPr>
          <w:p w14:paraId="30AFC511">
            <w:pPr>
              <w:widowControl/>
              <w:jc w:val="center"/>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　</w:t>
            </w:r>
          </w:p>
        </w:tc>
      </w:tr>
      <w:tr w14:paraId="66EDEA27">
        <w:tblPrEx>
          <w:tblCellMar>
            <w:top w:w="0" w:type="dxa"/>
            <w:left w:w="108" w:type="dxa"/>
            <w:bottom w:w="0" w:type="dxa"/>
            <w:right w:w="108" w:type="dxa"/>
          </w:tblCellMar>
        </w:tblPrEx>
        <w:trPr>
          <w:trHeight w:val="720" w:hRule="atLeast"/>
        </w:trPr>
        <w:tc>
          <w:tcPr>
            <w:tcW w:w="811" w:type="dxa"/>
            <w:tcBorders>
              <w:top w:val="nil"/>
              <w:left w:val="single" w:color="auto" w:sz="4" w:space="0"/>
              <w:bottom w:val="single" w:color="auto" w:sz="4" w:space="0"/>
              <w:right w:val="single" w:color="auto" w:sz="4" w:space="0"/>
            </w:tcBorders>
            <w:noWrap w:val="0"/>
            <w:vAlign w:val="center"/>
          </w:tcPr>
          <w:p w14:paraId="5A3B18F6">
            <w:pPr>
              <w:widowControl/>
              <w:jc w:val="center"/>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3</w:t>
            </w:r>
          </w:p>
        </w:tc>
        <w:tc>
          <w:tcPr>
            <w:tcW w:w="1755" w:type="dxa"/>
            <w:tcBorders>
              <w:top w:val="nil"/>
              <w:left w:val="nil"/>
              <w:bottom w:val="single" w:color="auto" w:sz="4" w:space="0"/>
              <w:right w:val="single" w:color="auto" w:sz="4" w:space="0"/>
            </w:tcBorders>
            <w:noWrap w:val="0"/>
            <w:vAlign w:val="center"/>
          </w:tcPr>
          <w:p w14:paraId="2B4E95BE">
            <w:pPr>
              <w:widowControl/>
              <w:jc w:val="center"/>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吸引瓶</w:t>
            </w:r>
          </w:p>
        </w:tc>
        <w:tc>
          <w:tcPr>
            <w:tcW w:w="1066" w:type="dxa"/>
            <w:tcBorders>
              <w:top w:val="nil"/>
              <w:left w:val="nil"/>
              <w:bottom w:val="single" w:color="auto" w:sz="4" w:space="0"/>
              <w:right w:val="single" w:color="auto" w:sz="4" w:space="0"/>
            </w:tcBorders>
            <w:noWrap w:val="0"/>
            <w:vAlign w:val="center"/>
          </w:tcPr>
          <w:p w14:paraId="00A2BFDC">
            <w:pPr>
              <w:widowControl/>
              <w:jc w:val="center"/>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　</w:t>
            </w:r>
          </w:p>
        </w:tc>
        <w:tc>
          <w:tcPr>
            <w:tcW w:w="850" w:type="dxa"/>
            <w:tcBorders>
              <w:top w:val="nil"/>
              <w:left w:val="nil"/>
              <w:bottom w:val="single" w:color="auto" w:sz="4" w:space="0"/>
              <w:right w:val="single" w:color="auto" w:sz="4" w:space="0"/>
            </w:tcBorders>
            <w:noWrap w:val="0"/>
            <w:vAlign w:val="center"/>
          </w:tcPr>
          <w:p w14:paraId="3EAA4E43">
            <w:pPr>
              <w:widowControl/>
              <w:jc w:val="center"/>
              <w:rPr>
                <w:rFonts w:hint="eastAsia" w:ascii="宋体" w:hAnsi="宋体" w:eastAsia="宋体" w:cs="宋体"/>
                <w:color w:val="FF0000"/>
                <w:kern w:val="0"/>
                <w:sz w:val="21"/>
                <w:szCs w:val="21"/>
                <w:lang w:val="en-US" w:eastAsia="zh-CN"/>
              </w:rPr>
            </w:pPr>
            <w:r>
              <w:rPr>
                <w:rFonts w:hint="eastAsia" w:ascii="宋体" w:hAnsi="宋体" w:eastAsia="宋体" w:cs="宋体"/>
                <w:color w:val="FF0000"/>
                <w:kern w:val="0"/>
                <w:sz w:val="21"/>
                <w:szCs w:val="21"/>
                <w:lang w:val="en-US" w:eastAsia="zh-CN"/>
              </w:rPr>
              <w:t>350</w:t>
            </w:r>
          </w:p>
        </w:tc>
        <w:tc>
          <w:tcPr>
            <w:tcW w:w="1066" w:type="dxa"/>
            <w:tcBorders>
              <w:top w:val="nil"/>
              <w:left w:val="nil"/>
              <w:bottom w:val="single" w:color="auto" w:sz="4" w:space="0"/>
              <w:right w:val="single" w:color="auto" w:sz="4" w:space="0"/>
            </w:tcBorders>
            <w:noWrap w:val="0"/>
            <w:vAlign w:val="center"/>
          </w:tcPr>
          <w:p w14:paraId="7B34E237">
            <w:pPr>
              <w:widowControl/>
              <w:jc w:val="center"/>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个</w:t>
            </w:r>
          </w:p>
        </w:tc>
        <w:tc>
          <w:tcPr>
            <w:tcW w:w="896" w:type="dxa"/>
            <w:tcBorders>
              <w:top w:val="single" w:color="auto" w:sz="4" w:space="0"/>
              <w:left w:val="nil"/>
              <w:bottom w:val="single" w:color="auto" w:sz="4" w:space="0"/>
              <w:right w:val="single" w:color="auto" w:sz="4" w:space="0"/>
            </w:tcBorders>
            <w:noWrap w:val="0"/>
            <w:vAlign w:val="center"/>
          </w:tcPr>
          <w:p w14:paraId="1C766F42">
            <w:pPr>
              <w:widowControl/>
              <w:jc w:val="center"/>
              <w:rPr>
                <w:rFonts w:hint="eastAsia" w:ascii="宋体" w:hAnsi="宋体" w:eastAsia="宋体" w:cs="宋体"/>
                <w:color w:val="FF0000"/>
                <w:kern w:val="0"/>
                <w:sz w:val="21"/>
                <w:szCs w:val="21"/>
              </w:rPr>
            </w:pPr>
          </w:p>
        </w:tc>
        <w:tc>
          <w:tcPr>
            <w:tcW w:w="2375" w:type="dxa"/>
            <w:tcBorders>
              <w:top w:val="nil"/>
              <w:left w:val="single" w:color="auto" w:sz="4" w:space="0"/>
              <w:bottom w:val="single" w:color="auto" w:sz="4" w:space="0"/>
              <w:right w:val="single" w:color="auto" w:sz="4" w:space="0"/>
            </w:tcBorders>
            <w:noWrap w:val="0"/>
            <w:vAlign w:val="center"/>
          </w:tcPr>
          <w:p w14:paraId="0FAB4C8D">
            <w:pPr>
              <w:widowControl/>
              <w:jc w:val="center"/>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≥1L　</w:t>
            </w:r>
          </w:p>
        </w:tc>
      </w:tr>
    </w:tbl>
    <w:p w14:paraId="76207F5D">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5.①需要同时满足采购人兴龙湖院所有吸引终端使用，即四川港通设备带、湖南太阳龙吊塔吊桥、深圳迈瑞吊塔、余姚宇峰设备带均能通用。</w:t>
      </w:r>
    </w:p>
    <w:p w14:paraId="53953D30">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②参选供应商需提前现场测试各品牌终端是否通用。</w:t>
      </w:r>
    </w:p>
    <w:p w14:paraId="4748A500">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③采购会时需提供样品。</w:t>
      </w:r>
    </w:p>
    <w:p w14:paraId="6DF41170">
      <w:pPr>
        <w:snapToGrid w:val="0"/>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p w14:paraId="3EE2EE22">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78F79708">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8CF2121">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0BD09B4">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2789059"/>
      <w:bookmarkStart w:id="77"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7358"/>
      <w:bookmarkStart w:id="80" w:name="_Toc485108793"/>
      <w:bookmarkStart w:id="81"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752EBE7D">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heme="minorEastAsia" w:hAnsiTheme="minorEastAsia" w:eastAsiaTheme="minorEastAsia" w:cstheme="minorEastAsia"/>
          <w:color w:val="FF0000"/>
          <w:kern w:val="2"/>
          <w:sz w:val="24"/>
          <w:szCs w:val="24"/>
          <w:lang w:val="en-US" w:eastAsia="zh-CN" w:bidi="ar-SA"/>
        </w:rPr>
      </w:pPr>
      <w:r>
        <w:rPr>
          <w:rFonts w:hint="eastAsia" w:asciiTheme="minorEastAsia" w:hAnsiTheme="minorEastAsia" w:eastAsiaTheme="minorEastAsia" w:cstheme="minorEastAsia"/>
          <w:color w:val="FF0000"/>
          <w:kern w:val="2"/>
          <w:sz w:val="24"/>
          <w:szCs w:val="24"/>
          <w:lang w:val="en-US" w:eastAsia="zh-CN" w:bidi="ar-SA"/>
        </w:rPr>
        <w:t>1、</w:t>
      </w:r>
      <w:r>
        <w:rPr>
          <w:rFonts w:hint="eastAsia" w:asciiTheme="minorEastAsia" w:hAnsiTheme="minorEastAsia" w:cstheme="minorEastAsia"/>
          <w:color w:val="FF0000"/>
          <w:kern w:val="2"/>
          <w:sz w:val="24"/>
          <w:szCs w:val="24"/>
          <w:lang w:val="en-US" w:eastAsia="zh-CN" w:bidi="ar-SA"/>
        </w:rPr>
        <w:t>后续供货周期</w:t>
      </w:r>
      <w:r>
        <w:rPr>
          <w:rFonts w:hint="eastAsia" w:asciiTheme="minorEastAsia" w:hAnsiTheme="minorEastAsia" w:eastAsiaTheme="minorEastAsia" w:cstheme="minorEastAsia"/>
          <w:color w:val="FF0000"/>
          <w:kern w:val="2"/>
          <w:sz w:val="24"/>
          <w:szCs w:val="24"/>
          <w:lang w:val="en-US" w:eastAsia="zh-CN" w:bidi="ar-SA"/>
        </w:rPr>
        <w:t>：</w:t>
      </w:r>
      <w:r>
        <w:rPr>
          <w:rFonts w:hint="eastAsia" w:asciiTheme="minorEastAsia" w:hAnsiTheme="minorEastAsia" w:cstheme="minorEastAsia"/>
          <w:color w:val="FF0000"/>
          <w:kern w:val="2"/>
          <w:sz w:val="24"/>
          <w:szCs w:val="24"/>
          <w:lang w:val="en-US" w:eastAsia="zh-CN" w:bidi="ar-SA"/>
        </w:rPr>
        <w:t>自合同签订之日起三年。</w:t>
      </w:r>
    </w:p>
    <w:p w14:paraId="7D10FBA6">
      <w:pPr>
        <w:keepNext w:val="0"/>
        <w:keepLines w:val="0"/>
        <w:pageBreakBefore w:val="0"/>
        <w:widowControl w:val="0"/>
        <w:kinsoku/>
        <w:wordWrap/>
        <w:overflowPunct/>
        <w:topLinePunct w:val="0"/>
        <w:autoSpaceDE/>
        <w:autoSpaceDN/>
        <w:bidi w:val="0"/>
        <w:adjustRightInd/>
        <w:spacing w:line="500" w:lineRule="exact"/>
        <w:ind w:firstLine="480" w:firstLineChars="200"/>
        <w:textAlignment w:val="auto"/>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b w:val="0"/>
          <w:color w:val="FF0000"/>
          <w:kern w:val="2"/>
          <w:sz w:val="24"/>
          <w:szCs w:val="24"/>
          <w:shd w:val="clear" w:color="auto" w:fill="auto"/>
          <w:lang w:val="en-US" w:eastAsia="zh-CN" w:bidi="ar-SA"/>
        </w:rPr>
        <w:t>2、</w:t>
      </w:r>
      <w:r>
        <w:rPr>
          <w:rFonts w:hint="eastAsia" w:ascii="宋体" w:hAnsi="宋体" w:eastAsia="宋体" w:cs="宋体"/>
          <w:color w:val="FF0000"/>
          <w:sz w:val="24"/>
          <w:szCs w:val="24"/>
          <w:shd w:val="clear" w:color="auto" w:fill="auto"/>
          <w:lang w:val="en-US" w:eastAsia="zh-CN"/>
        </w:rPr>
        <w:t>报价方式：按照报价表进行报价。单价为包干价，包含但不限于运输费、货款保险费、税费等各项费用，以及成交供应商人工工资、奖金、福利、社保、管理、交通、运输、利润、税金、风险费等在内的所有费用。因成交供应商自身原因造成漏报、少报皆由其自行承担责任，采购人不再补偿。(报价表见第六章)</w:t>
      </w:r>
    </w:p>
    <w:p w14:paraId="472E2C32">
      <w:pPr>
        <w:keepNext w:val="0"/>
        <w:keepLines w:val="0"/>
        <w:pageBreakBefore w:val="0"/>
        <w:widowControl w:val="0"/>
        <w:kinsoku/>
        <w:wordWrap/>
        <w:overflowPunct/>
        <w:topLinePunct w:val="0"/>
        <w:autoSpaceDE/>
        <w:autoSpaceDN/>
        <w:bidi w:val="0"/>
        <w:adjustRightInd/>
        <w:spacing w:line="500" w:lineRule="exact"/>
        <w:ind w:firstLine="480" w:firstLineChars="200"/>
        <w:textAlignment w:val="auto"/>
        <w:rPr>
          <w:rFonts w:hint="default" w:ascii="宋体" w:hAnsi="宋体" w:eastAsia="宋体" w:cs="宋体"/>
          <w:b w:val="0"/>
          <w:color w:val="FF0000"/>
          <w:kern w:val="2"/>
          <w:sz w:val="24"/>
          <w:szCs w:val="24"/>
          <w:shd w:val="clear" w:color="auto" w:fill="auto"/>
          <w:lang w:val="en-US" w:eastAsia="zh-CN" w:bidi="ar-SA"/>
        </w:rPr>
      </w:pPr>
      <w:r>
        <w:rPr>
          <w:rFonts w:hint="eastAsia" w:ascii="宋体" w:hAnsi="宋体" w:eastAsia="宋体" w:cs="宋体"/>
          <w:b w:val="0"/>
          <w:color w:val="FF0000"/>
          <w:kern w:val="2"/>
          <w:sz w:val="24"/>
          <w:szCs w:val="24"/>
          <w:shd w:val="clear" w:color="auto" w:fill="auto"/>
          <w:lang w:val="en-US" w:eastAsia="zh-CN" w:bidi="ar-SA"/>
        </w:rPr>
        <w:t>3、验收方式：成交供应商完成相应的配件安装工作后，与采购人共同验收签字确认。</w:t>
      </w:r>
    </w:p>
    <w:p w14:paraId="46478557">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cs="宋体"/>
          <w:b w:val="0"/>
          <w:color w:val="FF0000"/>
          <w:kern w:val="2"/>
          <w:sz w:val="24"/>
          <w:szCs w:val="24"/>
          <w:shd w:val="clear" w:color="auto" w:fill="auto"/>
          <w:lang w:val="en-US" w:eastAsia="zh-CN" w:bidi="ar-SA"/>
        </w:rPr>
      </w:pPr>
      <w:r>
        <w:rPr>
          <w:rFonts w:hint="eastAsia" w:ascii="宋体" w:hAnsi="宋体" w:eastAsia="宋体" w:cs="宋体"/>
          <w:b w:val="0"/>
          <w:color w:val="FF0000"/>
          <w:kern w:val="2"/>
          <w:sz w:val="24"/>
          <w:szCs w:val="24"/>
          <w:shd w:val="clear" w:color="auto" w:fill="auto"/>
          <w:lang w:val="en-US" w:eastAsia="zh-CN" w:bidi="ar-SA"/>
        </w:rPr>
        <w:t>4、付款方式：①针对本次采购的350个配件，</w:t>
      </w:r>
      <w:r>
        <w:rPr>
          <w:rFonts w:hint="eastAsia" w:ascii="宋体" w:hAnsi="宋体" w:eastAsia="宋体" w:cs="宋体"/>
          <w:color w:val="FF0000"/>
          <w:sz w:val="24"/>
          <w:szCs w:val="24"/>
          <w:lang w:val="en-US" w:eastAsia="zh-CN"/>
        </w:rPr>
        <w:t>合同签订后成交供应商向采购人转账支付合同金额的8%作为履约保证金。验收合格后成交供应商提供验收资料和合法发票，经采购人审核无误后60日内转账支付合同价款100%</w:t>
      </w:r>
      <w:r>
        <w:rPr>
          <w:rFonts w:hint="eastAsia" w:ascii="宋体" w:hAnsi="宋体" w:eastAsia="宋体" w:cs="宋体"/>
          <w:b w:val="0"/>
          <w:color w:val="FF0000"/>
          <w:kern w:val="2"/>
          <w:sz w:val="24"/>
          <w:szCs w:val="24"/>
          <w:shd w:val="clear" w:color="auto" w:fill="auto"/>
          <w:lang w:val="en-US" w:eastAsia="zh-CN" w:bidi="ar-SA"/>
        </w:rPr>
        <w:t>。</w:t>
      </w:r>
    </w:p>
    <w:p w14:paraId="095FC03F">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cs="宋体"/>
          <w:b w:val="0"/>
          <w:color w:val="FF0000"/>
          <w:kern w:val="2"/>
          <w:sz w:val="24"/>
          <w:szCs w:val="24"/>
          <w:shd w:val="clear" w:color="auto" w:fill="auto"/>
          <w:lang w:val="en-US" w:eastAsia="zh-CN" w:bidi="ar-SA"/>
        </w:rPr>
      </w:pPr>
      <w:r>
        <w:rPr>
          <w:rFonts w:hint="eastAsia" w:ascii="宋体" w:hAnsi="宋体" w:eastAsia="宋体" w:cs="宋体"/>
          <w:b w:val="0"/>
          <w:color w:val="FF0000"/>
          <w:kern w:val="2"/>
          <w:sz w:val="24"/>
          <w:szCs w:val="24"/>
          <w:shd w:val="clear" w:color="auto" w:fill="auto"/>
          <w:lang w:val="en-US" w:eastAsia="zh-CN" w:bidi="ar-SA"/>
        </w:rPr>
        <w:t>②后续零星购买的配件，经采购人验收合格后，凭有效合法的发票与验收合格单据，经采购人审核无误后支付相应价款。</w:t>
      </w:r>
    </w:p>
    <w:p w14:paraId="23E83220">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cs="宋体"/>
          <w:b w:val="0"/>
          <w:color w:val="FF0000"/>
          <w:kern w:val="2"/>
          <w:sz w:val="24"/>
          <w:szCs w:val="24"/>
          <w:shd w:val="clear" w:color="auto" w:fill="auto"/>
          <w:lang w:val="en-US" w:eastAsia="zh-CN" w:bidi="ar-SA"/>
        </w:rPr>
      </w:pPr>
      <w:r>
        <w:rPr>
          <w:rFonts w:hint="eastAsia" w:ascii="宋体" w:hAnsi="宋体" w:eastAsia="宋体" w:cs="宋体"/>
          <w:b w:val="0"/>
          <w:color w:val="FF0000"/>
          <w:kern w:val="2"/>
          <w:sz w:val="24"/>
          <w:szCs w:val="24"/>
          <w:shd w:val="clear" w:color="auto" w:fill="auto"/>
          <w:lang w:val="en-US" w:eastAsia="zh-CN" w:bidi="ar-SA"/>
        </w:rPr>
        <w:t>5.质保期：1年及以上。</w:t>
      </w:r>
    </w:p>
    <w:p w14:paraId="1F52C2CA">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default" w:ascii="宋体" w:hAnsi="宋体" w:eastAsia="宋体" w:cs="宋体"/>
          <w:b w:val="0"/>
          <w:color w:val="FF0000"/>
          <w:kern w:val="2"/>
          <w:sz w:val="24"/>
          <w:szCs w:val="24"/>
          <w:shd w:val="clear" w:color="auto" w:fill="auto"/>
          <w:lang w:val="en-US" w:eastAsia="zh-CN" w:bidi="ar-SA"/>
        </w:rPr>
      </w:pPr>
      <w:r>
        <w:rPr>
          <w:rFonts w:hint="eastAsia" w:ascii="宋体" w:hAnsi="宋体" w:eastAsia="宋体" w:cs="宋体"/>
          <w:b w:val="0"/>
          <w:color w:val="FF0000"/>
          <w:kern w:val="2"/>
          <w:sz w:val="24"/>
          <w:szCs w:val="24"/>
          <w:shd w:val="clear" w:color="auto" w:fill="auto"/>
          <w:lang w:val="en-US" w:eastAsia="zh-CN" w:bidi="ar-SA"/>
        </w:rPr>
        <w:t>6.到货期：5个工作日内。</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403569796"/>
      <w:bookmarkStart w:id="83" w:name="_Toc26989"/>
      <w:bookmarkStart w:id="84" w:name="_Toc14840"/>
      <w:bookmarkStart w:id="85" w:name="_Toc485108794"/>
      <w:bookmarkStart w:id="86" w:name="_Toc15711"/>
      <w:bookmarkStart w:id="87" w:name="_Toc148265480"/>
      <w:bookmarkStart w:id="88" w:name="_Toc30394582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30815"/>
      <w:bookmarkStart w:id="9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8853"/>
      <w:bookmarkStart w:id="100"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241"/>
      <w:bookmarkStart w:id="109"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1"/>
      <w:bookmarkStart w:id="118"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54718210"/>
      <w:bookmarkStart w:id="122" w:name="_Toc31719"/>
      <w:bookmarkStart w:id="123" w:name="_Toc54718212"/>
      <w:bookmarkStart w:id="124"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485108795"/>
      <w:bookmarkStart w:id="136" w:name="_Toc13696"/>
      <w:bookmarkStart w:id="137" w:name="_Toc29521"/>
      <w:bookmarkStart w:id="138" w:name="_Toc14085"/>
      <w:bookmarkStart w:id="139" w:name="_Toc12789072"/>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21293"/>
      <w:bookmarkStart w:id="148" w:name="_Toc5685"/>
      <w:bookmarkStart w:id="149"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485108796"/>
      <w:bookmarkStart w:id="152" w:name="_Toc342913419"/>
      <w:bookmarkStart w:id="153" w:name="_Toc480979018"/>
      <w:bookmarkStart w:id="154" w:name="_Toc313888360"/>
      <w:bookmarkStart w:id="155" w:name="_Toc5565"/>
      <w:bookmarkStart w:id="156" w:name="_Toc313008356"/>
      <w:bookmarkStart w:id="157" w:name="_Toc283382454"/>
      <w:bookmarkStart w:id="158"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2872A86F">
      <w:pPr>
        <w:spacing w:line="560" w:lineRule="exact"/>
        <w:ind w:firstLine="0" w:firstLineChars="0"/>
        <w:jc w:val="center"/>
        <w:rPr>
          <w:color w:val="000000" w:themeColor="text1"/>
          <w:sz w:val="28"/>
          <w:szCs w:val="28"/>
          <w14:textFill>
            <w14:solidFill>
              <w14:schemeClr w14:val="tx1"/>
            </w14:solidFill>
          </w14:textFill>
        </w:rPr>
      </w:pPr>
      <w:bookmarkStart w:id="159" w:name="_Toc485108797"/>
      <w:bookmarkStart w:id="160" w:name="_Toc480979019"/>
      <w:bookmarkStart w:id="161" w:name="_Toc313888361"/>
      <w:bookmarkStart w:id="162" w:name="_Toc313008357"/>
      <w:bookmarkStart w:id="163" w:name="_Toc342913420"/>
      <w:bookmarkStart w:id="164" w:name="_Toc12908"/>
      <w:bookmarkStart w:id="165" w:name="_Toc9883"/>
      <w:r>
        <w:rPr>
          <w:color w:val="000000" w:themeColor="text1"/>
          <w:sz w:val="28"/>
          <w:szCs w:val="28"/>
          <w14:textFill>
            <w14:solidFill>
              <w14:schemeClr w14:val="tx1"/>
            </w14:solidFill>
          </w14:textFill>
        </w:rPr>
        <w:t>报价表</w:t>
      </w:r>
    </w:p>
    <w:tbl>
      <w:tblPr>
        <w:tblStyle w:val="59"/>
        <w:tblW w:w="9296" w:type="dxa"/>
        <w:tblInd w:w="327" w:type="dxa"/>
        <w:tblLayout w:type="autofit"/>
        <w:tblCellMar>
          <w:top w:w="0" w:type="dxa"/>
          <w:left w:w="108" w:type="dxa"/>
          <w:bottom w:w="0" w:type="dxa"/>
          <w:right w:w="108" w:type="dxa"/>
        </w:tblCellMar>
      </w:tblPr>
      <w:tblGrid>
        <w:gridCol w:w="688"/>
        <w:gridCol w:w="1490"/>
        <w:gridCol w:w="905"/>
        <w:gridCol w:w="905"/>
        <w:gridCol w:w="905"/>
        <w:gridCol w:w="721"/>
        <w:gridCol w:w="905"/>
        <w:gridCol w:w="761"/>
        <w:gridCol w:w="2016"/>
      </w:tblGrid>
      <w:tr w14:paraId="21BA2191">
        <w:tblPrEx>
          <w:tblCellMar>
            <w:top w:w="0" w:type="dxa"/>
            <w:left w:w="108" w:type="dxa"/>
            <w:bottom w:w="0" w:type="dxa"/>
            <w:right w:w="108" w:type="dxa"/>
          </w:tblCellMar>
        </w:tblPrEx>
        <w:trPr>
          <w:trHeight w:val="570" w:hRule="atLeast"/>
        </w:trPr>
        <w:tc>
          <w:tcPr>
            <w:tcW w:w="688" w:type="dxa"/>
            <w:tcBorders>
              <w:top w:val="single" w:color="auto" w:sz="4" w:space="0"/>
              <w:left w:val="single" w:color="auto" w:sz="4" w:space="0"/>
              <w:bottom w:val="single" w:color="auto" w:sz="4" w:space="0"/>
              <w:right w:val="single" w:color="auto" w:sz="4" w:space="0"/>
            </w:tcBorders>
            <w:noWrap/>
            <w:vAlign w:val="center"/>
          </w:tcPr>
          <w:p w14:paraId="1AFF3BC7">
            <w:pPr>
              <w:widowControl/>
              <w:jc w:val="center"/>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序号</w:t>
            </w:r>
          </w:p>
        </w:tc>
        <w:tc>
          <w:tcPr>
            <w:tcW w:w="1490" w:type="dxa"/>
            <w:tcBorders>
              <w:top w:val="single" w:color="auto" w:sz="4" w:space="0"/>
              <w:left w:val="nil"/>
              <w:bottom w:val="single" w:color="auto" w:sz="4" w:space="0"/>
              <w:right w:val="single" w:color="auto" w:sz="4" w:space="0"/>
            </w:tcBorders>
            <w:noWrap/>
            <w:vAlign w:val="center"/>
          </w:tcPr>
          <w:p w14:paraId="1F7C4968">
            <w:pPr>
              <w:widowControl/>
              <w:jc w:val="center"/>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产品名称</w:t>
            </w:r>
          </w:p>
        </w:tc>
        <w:tc>
          <w:tcPr>
            <w:tcW w:w="905" w:type="dxa"/>
            <w:tcBorders>
              <w:top w:val="single" w:color="auto" w:sz="4" w:space="0"/>
              <w:left w:val="nil"/>
              <w:bottom w:val="single" w:color="auto" w:sz="4" w:space="0"/>
              <w:right w:val="single" w:color="auto" w:sz="4" w:space="0"/>
            </w:tcBorders>
            <w:noWrap/>
            <w:vAlign w:val="center"/>
          </w:tcPr>
          <w:p w14:paraId="40CA25D8">
            <w:pPr>
              <w:widowControl/>
              <w:jc w:val="center"/>
              <w:rPr>
                <w:rFonts w:hint="eastAsia" w:ascii="宋体" w:hAnsi="宋体" w:eastAsia="宋体" w:cs="宋体"/>
                <w:color w:val="FF0000"/>
                <w:kern w:val="0"/>
                <w:sz w:val="21"/>
                <w:szCs w:val="21"/>
                <w:lang w:eastAsia="zh-CN"/>
              </w:rPr>
            </w:pPr>
            <w:r>
              <w:rPr>
                <w:rFonts w:hint="eastAsia" w:ascii="宋体" w:hAnsi="宋体" w:eastAsia="宋体" w:cs="宋体"/>
                <w:color w:val="FF0000"/>
                <w:kern w:val="0"/>
                <w:sz w:val="21"/>
                <w:szCs w:val="21"/>
                <w:lang w:eastAsia="zh-CN"/>
              </w:rPr>
              <w:t>品牌</w:t>
            </w:r>
          </w:p>
        </w:tc>
        <w:tc>
          <w:tcPr>
            <w:tcW w:w="905" w:type="dxa"/>
            <w:tcBorders>
              <w:top w:val="single" w:color="auto" w:sz="4" w:space="0"/>
              <w:left w:val="nil"/>
              <w:bottom w:val="single" w:color="auto" w:sz="4" w:space="0"/>
              <w:right w:val="single" w:color="auto" w:sz="4" w:space="0"/>
            </w:tcBorders>
            <w:noWrap/>
            <w:vAlign w:val="center"/>
          </w:tcPr>
          <w:p w14:paraId="0C0AB01B">
            <w:pPr>
              <w:widowControl/>
              <w:jc w:val="center"/>
              <w:rPr>
                <w:rFonts w:hint="eastAsia" w:ascii="宋体" w:hAnsi="宋体" w:eastAsia="宋体" w:cs="宋体"/>
                <w:color w:val="FF0000"/>
                <w:kern w:val="0"/>
                <w:sz w:val="21"/>
                <w:szCs w:val="21"/>
                <w:lang w:eastAsia="zh-CN"/>
              </w:rPr>
            </w:pPr>
            <w:r>
              <w:rPr>
                <w:rFonts w:hint="eastAsia" w:ascii="宋体" w:hAnsi="宋体" w:eastAsia="宋体" w:cs="宋体"/>
                <w:color w:val="FF0000"/>
                <w:kern w:val="0"/>
                <w:sz w:val="21"/>
                <w:szCs w:val="21"/>
                <w:lang w:eastAsia="zh-CN"/>
              </w:rPr>
              <w:t>生产厂家</w:t>
            </w:r>
          </w:p>
        </w:tc>
        <w:tc>
          <w:tcPr>
            <w:tcW w:w="905" w:type="dxa"/>
            <w:tcBorders>
              <w:top w:val="single" w:color="auto" w:sz="4" w:space="0"/>
              <w:left w:val="nil"/>
              <w:bottom w:val="single" w:color="auto" w:sz="4" w:space="0"/>
              <w:right w:val="single" w:color="auto" w:sz="4" w:space="0"/>
            </w:tcBorders>
            <w:noWrap/>
            <w:vAlign w:val="center"/>
          </w:tcPr>
          <w:p w14:paraId="7B85249D">
            <w:pPr>
              <w:widowControl/>
              <w:jc w:val="center"/>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规格型号</w:t>
            </w:r>
          </w:p>
        </w:tc>
        <w:tc>
          <w:tcPr>
            <w:tcW w:w="721" w:type="dxa"/>
            <w:tcBorders>
              <w:top w:val="single" w:color="auto" w:sz="4" w:space="0"/>
              <w:left w:val="nil"/>
              <w:bottom w:val="single" w:color="auto" w:sz="4" w:space="0"/>
              <w:right w:val="single" w:color="auto" w:sz="4" w:space="0"/>
            </w:tcBorders>
            <w:noWrap/>
            <w:vAlign w:val="center"/>
          </w:tcPr>
          <w:p w14:paraId="33BF1176">
            <w:pPr>
              <w:widowControl/>
              <w:jc w:val="center"/>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数量</w:t>
            </w:r>
          </w:p>
        </w:tc>
        <w:tc>
          <w:tcPr>
            <w:tcW w:w="905" w:type="dxa"/>
            <w:tcBorders>
              <w:top w:val="single" w:color="auto" w:sz="4" w:space="0"/>
              <w:left w:val="nil"/>
              <w:bottom w:val="single" w:color="auto" w:sz="4" w:space="0"/>
              <w:right w:val="single" w:color="auto" w:sz="4" w:space="0"/>
            </w:tcBorders>
            <w:noWrap/>
            <w:vAlign w:val="center"/>
          </w:tcPr>
          <w:p w14:paraId="6F94C764">
            <w:pPr>
              <w:widowControl/>
              <w:jc w:val="center"/>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单位</w:t>
            </w:r>
          </w:p>
        </w:tc>
        <w:tc>
          <w:tcPr>
            <w:tcW w:w="761" w:type="dxa"/>
            <w:tcBorders>
              <w:top w:val="single" w:color="auto" w:sz="4" w:space="0"/>
              <w:left w:val="nil"/>
              <w:bottom w:val="single" w:color="auto" w:sz="4" w:space="0"/>
              <w:right w:val="single" w:color="auto" w:sz="4" w:space="0"/>
            </w:tcBorders>
            <w:noWrap w:val="0"/>
            <w:vAlign w:val="center"/>
          </w:tcPr>
          <w:p w14:paraId="2CB9FF49">
            <w:pPr>
              <w:widowControl/>
              <w:jc w:val="center"/>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单价</w:t>
            </w:r>
          </w:p>
        </w:tc>
        <w:tc>
          <w:tcPr>
            <w:tcW w:w="2016" w:type="dxa"/>
            <w:tcBorders>
              <w:top w:val="single" w:color="auto" w:sz="4" w:space="0"/>
              <w:left w:val="single" w:color="auto" w:sz="4" w:space="0"/>
              <w:bottom w:val="single" w:color="auto" w:sz="4" w:space="0"/>
              <w:right w:val="single" w:color="auto" w:sz="4" w:space="0"/>
            </w:tcBorders>
            <w:noWrap/>
            <w:vAlign w:val="center"/>
          </w:tcPr>
          <w:p w14:paraId="5F1FE2F9">
            <w:pPr>
              <w:widowControl/>
              <w:jc w:val="center"/>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备注</w:t>
            </w:r>
          </w:p>
        </w:tc>
      </w:tr>
      <w:tr w14:paraId="7042CBB5">
        <w:tblPrEx>
          <w:tblCellMar>
            <w:top w:w="0" w:type="dxa"/>
            <w:left w:w="108" w:type="dxa"/>
            <w:bottom w:w="0" w:type="dxa"/>
            <w:right w:w="108" w:type="dxa"/>
          </w:tblCellMar>
        </w:tblPrEx>
        <w:trPr>
          <w:trHeight w:val="826" w:hRule="atLeast"/>
        </w:trPr>
        <w:tc>
          <w:tcPr>
            <w:tcW w:w="688" w:type="dxa"/>
            <w:tcBorders>
              <w:top w:val="nil"/>
              <w:left w:val="single" w:color="auto" w:sz="4" w:space="0"/>
              <w:bottom w:val="single" w:color="auto" w:sz="4" w:space="0"/>
              <w:right w:val="single" w:color="auto" w:sz="4" w:space="0"/>
            </w:tcBorders>
            <w:noWrap w:val="0"/>
            <w:vAlign w:val="center"/>
          </w:tcPr>
          <w:p w14:paraId="7B700810">
            <w:pPr>
              <w:widowControl/>
              <w:jc w:val="center"/>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1</w:t>
            </w:r>
          </w:p>
        </w:tc>
        <w:tc>
          <w:tcPr>
            <w:tcW w:w="1490" w:type="dxa"/>
            <w:tcBorders>
              <w:top w:val="nil"/>
              <w:left w:val="nil"/>
              <w:bottom w:val="single" w:color="auto" w:sz="4" w:space="0"/>
              <w:right w:val="single" w:color="auto" w:sz="4" w:space="0"/>
            </w:tcBorders>
            <w:noWrap w:val="0"/>
            <w:vAlign w:val="center"/>
          </w:tcPr>
          <w:p w14:paraId="33FA2CD7">
            <w:pPr>
              <w:widowControl/>
              <w:jc w:val="center"/>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吸引调节阀（表头）</w:t>
            </w:r>
          </w:p>
        </w:tc>
        <w:tc>
          <w:tcPr>
            <w:tcW w:w="905" w:type="dxa"/>
            <w:tcBorders>
              <w:top w:val="nil"/>
              <w:left w:val="nil"/>
              <w:bottom w:val="single" w:color="auto" w:sz="4" w:space="0"/>
              <w:right w:val="single" w:color="auto" w:sz="4" w:space="0"/>
            </w:tcBorders>
            <w:noWrap w:val="0"/>
            <w:vAlign w:val="center"/>
          </w:tcPr>
          <w:p w14:paraId="0CE4D020">
            <w:pPr>
              <w:widowControl/>
              <w:jc w:val="center"/>
              <w:rPr>
                <w:rFonts w:hint="eastAsia" w:ascii="宋体" w:hAnsi="宋体" w:eastAsia="宋体" w:cs="宋体"/>
                <w:color w:val="FF0000"/>
                <w:kern w:val="0"/>
                <w:sz w:val="21"/>
                <w:szCs w:val="21"/>
              </w:rPr>
            </w:pPr>
          </w:p>
        </w:tc>
        <w:tc>
          <w:tcPr>
            <w:tcW w:w="905" w:type="dxa"/>
            <w:tcBorders>
              <w:top w:val="nil"/>
              <w:left w:val="nil"/>
              <w:bottom w:val="single" w:color="auto" w:sz="4" w:space="0"/>
              <w:right w:val="single" w:color="auto" w:sz="4" w:space="0"/>
            </w:tcBorders>
            <w:noWrap w:val="0"/>
            <w:vAlign w:val="center"/>
          </w:tcPr>
          <w:p w14:paraId="7A0C92F5">
            <w:pPr>
              <w:widowControl/>
              <w:jc w:val="center"/>
              <w:rPr>
                <w:rFonts w:hint="eastAsia" w:ascii="宋体" w:hAnsi="宋体" w:eastAsia="宋体" w:cs="宋体"/>
                <w:color w:val="FF0000"/>
                <w:kern w:val="0"/>
                <w:sz w:val="21"/>
                <w:szCs w:val="21"/>
              </w:rPr>
            </w:pPr>
          </w:p>
        </w:tc>
        <w:tc>
          <w:tcPr>
            <w:tcW w:w="905" w:type="dxa"/>
            <w:tcBorders>
              <w:top w:val="nil"/>
              <w:left w:val="nil"/>
              <w:bottom w:val="single" w:color="auto" w:sz="4" w:space="0"/>
              <w:right w:val="single" w:color="auto" w:sz="4" w:space="0"/>
            </w:tcBorders>
            <w:noWrap w:val="0"/>
            <w:vAlign w:val="center"/>
          </w:tcPr>
          <w:p w14:paraId="0B54B3B1">
            <w:pPr>
              <w:widowControl/>
              <w:jc w:val="center"/>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　</w:t>
            </w:r>
          </w:p>
        </w:tc>
        <w:tc>
          <w:tcPr>
            <w:tcW w:w="721" w:type="dxa"/>
            <w:tcBorders>
              <w:top w:val="nil"/>
              <w:left w:val="nil"/>
              <w:bottom w:val="single" w:color="auto" w:sz="4" w:space="0"/>
              <w:right w:val="single" w:color="auto" w:sz="4" w:space="0"/>
            </w:tcBorders>
            <w:noWrap w:val="0"/>
            <w:vAlign w:val="center"/>
          </w:tcPr>
          <w:p w14:paraId="55108546">
            <w:pPr>
              <w:widowControl/>
              <w:jc w:val="center"/>
              <w:rPr>
                <w:rFonts w:hint="eastAsia" w:ascii="宋体" w:hAnsi="宋体" w:eastAsia="宋体" w:cs="宋体"/>
                <w:color w:val="FF0000"/>
                <w:kern w:val="0"/>
                <w:sz w:val="21"/>
                <w:szCs w:val="21"/>
                <w:lang w:val="en-US" w:eastAsia="zh-CN"/>
              </w:rPr>
            </w:pPr>
            <w:r>
              <w:rPr>
                <w:rFonts w:hint="eastAsia" w:ascii="宋体" w:hAnsi="宋体" w:eastAsia="宋体" w:cs="宋体"/>
                <w:color w:val="FF0000"/>
                <w:kern w:val="0"/>
                <w:sz w:val="21"/>
                <w:szCs w:val="21"/>
                <w:lang w:val="en-US" w:eastAsia="zh-CN"/>
              </w:rPr>
              <w:t>350</w:t>
            </w:r>
          </w:p>
        </w:tc>
        <w:tc>
          <w:tcPr>
            <w:tcW w:w="905" w:type="dxa"/>
            <w:tcBorders>
              <w:top w:val="nil"/>
              <w:left w:val="nil"/>
              <w:bottom w:val="single" w:color="auto" w:sz="4" w:space="0"/>
              <w:right w:val="single" w:color="auto" w:sz="4" w:space="0"/>
            </w:tcBorders>
            <w:noWrap w:val="0"/>
            <w:vAlign w:val="center"/>
          </w:tcPr>
          <w:p w14:paraId="0ED69566">
            <w:pPr>
              <w:widowControl/>
              <w:jc w:val="center"/>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个</w:t>
            </w:r>
          </w:p>
        </w:tc>
        <w:tc>
          <w:tcPr>
            <w:tcW w:w="761" w:type="dxa"/>
            <w:tcBorders>
              <w:top w:val="single" w:color="auto" w:sz="4" w:space="0"/>
              <w:left w:val="nil"/>
              <w:bottom w:val="single" w:color="auto" w:sz="4" w:space="0"/>
              <w:right w:val="single" w:color="auto" w:sz="4" w:space="0"/>
            </w:tcBorders>
            <w:noWrap w:val="0"/>
            <w:vAlign w:val="center"/>
          </w:tcPr>
          <w:p w14:paraId="6D3BFFB8">
            <w:pPr>
              <w:widowControl/>
              <w:jc w:val="center"/>
              <w:rPr>
                <w:rFonts w:hint="eastAsia" w:ascii="宋体" w:hAnsi="宋体" w:eastAsia="宋体" w:cs="宋体"/>
                <w:color w:val="FF0000"/>
                <w:kern w:val="0"/>
                <w:sz w:val="21"/>
                <w:szCs w:val="21"/>
              </w:rPr>
            </w:pPr>
          </w:p>
        </w:tc>
        <w:tc>
          <w:tcPr>
            <w:tcW w:w="2016" w:type="dxa"/>
            <w:tcBorders>
              <w:top w:val="nil"/>
              <w:left w:val="single" w:color="auto" w:sz="4" w:space="0"/>
              <w:bottom w:val="single" w:color="auto" w:sz="4" w:space="0"/>
              <w:right w:val="single" w:color="auto" w:sz="4" w:space="0"/>
            </w:tcBorders>
            <w:noWrap w:val="0"/>
            <w:vAlign w:val="center"/>
          </w:tcPr>
          <w:p w14:paraId="5F9A49A4">
            <w:pPr>
              <w:widowControl/>
              <w:jc w:val="center"/>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国标插拔头</w:t>
            </w:r>
          </w:p>
        </w:tc>
      </w:tr>
      <w:tr w14:paraId="0DD7AEBE">
        <w:tblPrEx>
          <w:tblCellMar>
            <w:top w:w="0" w:type="dxa"/>
            <w:left w:w="108" w:type="dxa"/>
            <w:bottom w:w="0" w:type="dxa"/>
            <w:right w:w="108" w:type="dxa"/>
          </w:tblCellMar>
        </w:tblPrEx>
        <w:trPr>
          <w:trHeight w:val="720" w:hRule="atLeast"/>
        </w:trPr>
        <w:tc>
          <w:tcPr>
            <w:tcW w:w="688" w:type="dxa"/>
            <w:tcBorders>
              <w:top w:val="nil"/>
              <w:left w:val="single" w:color="auto" w:sz="4" w:space="0"/>
              <w:bottom w:val="single" w:color="auto" w:sz="4" w:space="0"/>
              <w:right w:val="single" w:color="auto" w:sz="4" w:space="0"/>
            </w:tcBorders>
            <w:noWrap w:val="0"/>
            <w:vAlign w:val="center"/>
          </w:tcPr>
          <w:p w14:paraId="62E47104">
            <w:pPr>
              <w:widowControl/>
              <w:jc w:val="center"/>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2</w:t>
            </w:r>
          </w:p>
        </w:tc>
        <w:tc>
          <w:tcPr>
            <w:tcW w:w="1490" w:type="dxa"/>
            <w:tcBorders>
              <w:top w:val="nil"/>
              <w:left w:val="nil"/>
              <w:bottom w:val="single" w:color="auto" w:sz="4" w:space="0"/>
              <w:right w:val="single" w:color="auto" w:sz="4" w:space="0"/>
            </w:tcBorders>
            <w:noWrap w:val="0"/>
            <w:vAlign w:val="center"/>
          </w:tcPr>
          <w:p w14:paraId="1891B024">
            <w:pPr>
              <w:widowControl/>
              <w:jc w:val="center"/>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连接管</w:t>
            </w:r>
          </w:p>
        </w:tc>
        <w:tc>
          <w:tcPr>
            <w:tcW w:w="905" w:type="dxa"/>
            <w:tcBorders>
              <w:top w:val="nil"/>
              <w:left w:val="nil"/>
              <w:bottom w:val="single" w:color="auto" w:sz="4" w:space="0"/>
              <w:right w:val="single" w:color="auto" w:sz="4" w:space="0"/>
            </w:tcBorders>
            <w:noWrap w:val="0"/>
            <w:vAlign w:val="center"/>
          </w:tcPr>
          <w:p w14:paraId="65646D76">
            <w:pPr>
              <w:widowControl/>
              <w:jc w:val="center"/>
              <w:rPr>
                <w:rFonts w:hint="eastAsia" w:ascii="宋体" w:hAnsi="宋体" w:eastAsia="宋体" w:cs="宋体"/>
                <w:color w:val="FF0000"/>
                <w:kern w:val="0"/>
                <w:sz w:val="21"/>
                <w:szCs w:val="21"/>
              </w:rPr>
            </w:pPr>
          </w:p>
        </w:tc>
        <w:tc>
          <w:tcPr>
            <w:tcW w:w="905" w:type="dxa"/>
            <w:tcBorders>
              <w:top w:val="nil"/>
              <w:left w:val="nil"/>
              <w:bottom w:val="single" w:color="auto" w:sz="4" w:space="0"/>
              <w:right w:val="single" w:color="auto" w:sz="4" w:space="0"/>
            </w:tcBorders>
            <w:noWrap w:val="0"/>
            <w:vAlign w:val="center"/>
          </w:tcPr>
          <w:p w14:paraId="1730F17B">
            <w:pPr>
              <w:widowControl/>
              <w:jc w:val="center"/>
              <w:rPr>
                <w:rFonts w:hint="eastAsia" w:ascii="宋体" w:hAnsi="宋体" w:eastAsia="宋体" w:cs="宋体"/>
                <w:color w:val="FF0000"/>
                <w:kern w:val="0"/>
                <w:sz w:val="21"/>
                <w:szCs w:val="21"/>
              </w:rPr>
            </w:pPr>
          </w:p>
        </w:tc>
        <w:tc>
          <w:tcPr>
            <w:tcW w:w="905" w:type="dxa"/>
            <w:tcBorders>
              <w:top w:val="nil"/>
              <w:left w:val="nil"/>
              <w:bottom w:val="single" w:color="auto" w:sz="4" w:space="0"/>
              <w:right w:val="single" w:color="auto" w:sz="4" w:space="0"/>
            </w:tcBorders>
            <w:noWrap w:val="0"/>
            <w:vAlign w:val="center"/>
          </w:tcPr>
          <w:p w14:paraId="7BDFDCA3">
            <w:pPr>
              <w:widowControl/>
              <w:jc w:val="center"/>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　</w:t>
            </w:r>
          </w:p>
        </w:tc>
        <w:tc>
          <w:tcPr>
            <w:tcW w:w="721" w:type="dxa"/>
            <w:tcBorders>
              <w:top w:val="nil"/>
              <w:left w:val="nil"/>
              <w:bottom w:val="single" w:color="auto" w:sz="4" w:space="0"/>
              <w:right w:val="single" w:color="auto" w:sz="4" w:space="0"/>
            </w:tcBorders>
            <w:noWrap w:val="0"/>
            <w:vAlign w:val="center"/>
          </w:tcPr>
          <w:p w14:paraId="2002326D">
            <w:pPr>
              <w:widowControl/>
              <w:jc w:val="center"/>
              <w:rPr>
                <w:rFonts w:hint="eastAsia" w:ascii="宋体" w:hAnsi="宋体" w:eastAsia="宋体" w:cs="宋体"/>
                <w:color w:val="FF0000"/>
                <w:kern w:val="0"/>
                <w:sz w:val="21"/>
                <w:szCs w:val="21"/>
                <w:lang w:val="en-US" w:eastAsia="zh-CN"/>
              </w:rPr>
            </w:pPr>
            <w:r>
              <w:rPr>
                <w:rFonts w:hint="eastAsia" w:ascii="宋体" w:hAnsi="宋体" w:eastAsia="宋体" w:cs="宋体"/>
                <w:color w:val="FF0000"/>
                <w:kern w:val="0"/>
                <w:sz w:val="21"/>
                <w:szCs w:val="21"/>
                <w:lang w:val="en-US" w:eastAsia="zh-CN"/>
              </w:rPr>
              <w:t>350</w:t>
            </w:r>
          </w:p>
        </w:tc>
        <w:tc>
          <w:tcPr>
            <w:tcW w:w="905" w:type="dxa"/>
            <w:tcBorders>
              <w:top w:val="nil"/>
              <w:left w:val="nil"/>
              <w:bottom w:val="single" w:color="auto" w:sz="4" w:space="0"/>
              <w:right w:val="single" w:color="auto" w:sz="4" w:space="0"/>
            </w:tcBorders>
            <w:noWrap w:val="0"/>
            <w:vAlign w:val="center"/>
          </w:tcPr>
          <w:p w14:paraId="45D09653">
            <w:pPr>
              <w:widowControl/>
              <w:jc w:val="center"/>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根</w:t>
            </w:r>
          </w:p>
        </w:tc>
        <w:tc>
          <w:tcPr>
            <w:tcW w:w="761" w:type="dxa"/>
            <w:tcBorders>
              <w:top w:val="single" w:color="auto" w:sz="4" w:space="0"/>
              <w:left w:val="nil"/>
              <w:bottom w:val="single" w:color="auto" w:sz="4" w:space="0"/>
              <w:right w:val="single" w:color="auto" w:sz="4" w:space="0"/>
            </w:tcBorders>
            <w:noWrap w:val="0"/>
            <w:vAlign w:val="center"/>
          </w:tcPr>
          <w:p w14:paraId="42D02C4E">
            <w:pPr>
              <w:widowControl/>
              <w:jc w:val="center"/>
              <w:rPr>
                <w:rFonts w:hint="eastAsia" w:ascii="宋体" w:hAnsi="宋体" w:eastAsia="宋体" w:cs="宋体"/>
                <w:color w:val="FF0000"/>
                <w:kern w:val="0"/>
                <w:sz w:val="21"/>
                <w:szCs w:val="21"/>
              </w:rPr>
            </w:pPr>
          </w:p>
        </w:tc>
        <w:tc>
          <w:tcPr>
            <w:tcW w:w="2016" w:type="dxa"/>
            <w:tcBorders>
              <w:top w:val="nil"/>
              <w:left w:val="single" w:color="auto" w:sz="4" w:space="0"/>
              <w:bottom w:val="single" w:color="auto" w:sz="4" w:space="0"/>
              <w:right w:val="single" w:color="auto" w:sz="4" w:space="0"/>
            </w:tcBorders>
            <w:noWrap w:val="0"/>
            <w:vAlign w:val="center"/>
          </w:tcPr>
          <w:p w14:paraId="7A87B4F0">
            <w:pPr>
              <w:widowControl/>
              <w:jc w:val="center"/>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　</w:t>
            </w:r>
          </w:p>
        </w:tc>
      </w:tr>
      <w:tr w14:paraId="44A558E8">
        <w:tblPrEx>
          <w:tblCellMar>
            <w:top w:w="0" w:type="dxa"/>
            <w:left w:w="108" w:type="dxa"/>
            <w:bottom w:w="0" w:type="dxa"/>
            <w:right w:w="108" w:type="dxa"/>
          </w:tblCellMar>
        </w:tblPrEx>
        <w:trPr>
          <w:trHeight w:val="720" w:hRule="atLeast"/>
        </w:trPr>
        <w:tc>
          <w:tcPr>
            <w:tcW w:w="688" w:type="dxa"/>
            <w:tcBorders>
              <w:top w:val="nil"/>
              <w:left w:val="single" w:color="auto" w:sz="4" w:space="0"/>
              <w:bottom w:val="single" w:color="auto" w:sz="4" w:space="0"/>
              <w:right w:val="single" w:color="auto" w:sz="4" w:space="0"/>
            </w:tcBorders>
            <w:noWrap w:val="0"/>
            <w:vAlign w:val="center"/>
          </w:tcPr>
          <w:p w14:paraId="4E91B5A5">
            <w:pPr>
              <w:widowControl/>
              <w:jc w:val="center"/>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3</w:t>
            </w:r>
          </w:p>
        </w:tc>
        <w:tc>
          <w:tcPr>
            <w:tcW w:w="1490" w:type="dxa"/>
            <w:tcBorders>
              <w:top w:val="nil"/>
              <w:left w:val="nil"/>
              <w:bottom w:val="single" w:color="auto" w:sz="4" w:space="0"/>
              <w:right w:val="single" w:color="auto" w:sz="4" w:space="0"/>
            </w:tcBorders>
            <w:noWrap w:val="0"/>
            <w:vAlign w:val="center"/>
          </w:tcPr>
          <w:p w14:paraId="7363B76C">
            <w:pPr>
              <w:widowControl/>
              <w:jc w:val="center"/>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吸引瓶</w:t>
            </w:r>
          </w:p>
        </w:tc>
        <w:tc>
          <w:tcPr>
            <w:tcW w:w="905" w:type="dxa"/>
            <w:tcBorders>
              <w:top w:val="nil"/>
              <w:left w:val="nil"/>
              <w:bottom w:val="single" w:color="auto" w:sz="4" w:space="0"/>
              <w:right w:val="single" w:color="auto" w:sz="4" w:space="0"/>
            </w:tcBorders>
            <w:noWrap w:val="0"/>
            <w:vAlign w:val="center"/>
          </w:tcPr>
          <w:p w14:paraId="218135A0">
            <w:pPr>
              <w:widowControl/>
              <w:jc w:val="center"/>
              <w:rPr>
                <w:rFonts w:hint="eastAsia" w:ascii="宋体" w:hAnsi="宋体" w:eastAsia="宋体" w:cs="宋体"/>
                <w:color w:val="FF0000"/>
                <w:kern w:val="0"/>
                <w:sz w:val="21"/>
                <w:szCs w:val="21"/>
              </w:rPr>
            </w:pPr>
          </w:p>
        </w:tc>
        <w:tc>
          <w:tcPr>
            <w:tcW w:w="905" w:type="dxa"/>
            <w:tcBorders>
              <w:top w:val="nil"/>
              <w:left w:val="nil"/>
              <w:bottom w:val="single" w:color="auto" w:sz="4" w:space="0"/>
              <w:right w:val="single" w:color="auto" w:sz="4" w:space="0"/>
            </w:tcBorders>
            <w:noWrap w:val="0"/>
            <w:vAlign w:val="center"/>
          </w:tcPr>
          <w:p w14:paraId="6C00807C">
            <w:pPr>
              <w:widowControl/>
              <w:jc w:val="center"/>
              <w:rPr>
                <w:rFonts w:hint="eastAsia" w:ascii="宋体" w:hAnsi="宋体" w:eastAsia="宋体" w:cs="宋体"/>
                <w:color w:val="FF0000"/>
                <w:kern w:val="0"/>
                <w:sz w:val="21"/>
                <w:szCs w:val="21"/>
              </w:rPr>
            </w:pPr>
          </w:p>
        </w:tc>
        <w:tc>
          <w:tcPr>
            <w:tcW w:w="905" w:type="dxa"/>
            <w:tcBorders>
              <w:top w:val="nil"/>
              <w:left w:val="nil"/>
              <w:bottom w:val="single" w:color="auto" w:sz="4" w:space="0"/>
              <w:right w:val="single" w:color="auto" w:sz="4" w:space="0"/>
            </w:tcBorders>
            <w:noWrap w:val="0"/>
            <w:vAlign w:val="center"/>
          </w:tcPr>
          <w:p w14:paraId="72C01A70">
            <w:pPr>
              <w:widowControl/>
              <w:jc w:val="center"/>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　</w:t>
            </w:r>
          </w:p>
        </w:tc>
        <w:tc>
          <w:tcPr>
            <w:tcW w:w="721" w:type="dxa"/>
            <w:tcBorders>
              <w:top w:val="nil"/>
              <w:left w:val="nil"/>
              <w:bottom w:val="single" w:color="auto" w:sz="4" w:space="0"/>
              <w:right w:val="single" w:color="auto" w:sz="4" w:space="0"/>
            </w:tcBorders>
            <w:noWrap w:val="0"/>
            <w:vAlign w:val="center"/>
          </w:tcPr>
          <w:p w14:paraId="15352842">
            <w:pPr>
              <w:widowControl/>
              <w:jc w:val="center"/>
              <w:rPr>
                <w:rFonts w:hint="eastAsia" w:ascii="宋体" w:hAnsi="宋体" w:eastAsia="宋体" w:cs="宋体"/>
                <w:color w:val="FF0000"/>
                <w:kern w:val="0"/>
                <w:sz w:val="21"/>
                <w:szCs w:val="21"/>
                <w:lang w:val="en-US" w:eastAsia="zh-CN"/>
              </w:rPr>
            </w:pPr>
            <w:r>
              <w:rPr>
                <w:rFonts w:hint="eastAsia" w:ascii="宋体" w:hAnsi="宋体" w:eastAsia="宋体" w:cs="宋体"/>
                <w:color w:val="FF0000"/>
                <w:kern w:val="0"/>
                <w:sz w:val="21"/>
                <w:szCs w:val="21"/>
                <w:lang w:val="en-US" w:eastAsia="zh-CN"/>
              </w:rPr>
              <w:t>350</w:t>
            </w:r>
          </w:p>
        </w:tc>
        <w:tc>
          <w:tcPr>
            <w:tcW w:w="905" w:type="dxa"/>
            <w:tcBorders>
              <w:top w:val="nil"/>
              <w:left w:val="nil"/>
              <w:bottom w:val="single" w:color="auto" w:sz="4" w:space="0"/>
              <w:right w:val="single" w:color="auto" w:sz="4" w:space="0"/>
            </w:tcBorders>
            <w:noWrap w:val="0"/>
            <w:vAlign w:val="center"/>
          </w:tcPr>
          <w:p w14:paraId="2C66D90F">
            <w:pPr>
              <w:widowControl/>
              <w:jc w:val="center"/>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个</w:t>
            </w:r>
          </w:p>
        </w:tc>
        <w:tc>
          <w:tcPr>
            <w:tcW w:w="761" w:type="dxa"/>
            <w:tcBorders>
              <w:top w:val="single" w:color="auto" w:sz="4" w:space="0"/>
              <w:left w:val="nil"/>
              <w:bottom w:val="single" w:color="auto" w:sz="4" w:space="0"/>
              <w:right w:val="single" w:color="auto" w:sz="4" w:space="0"/>
            </w:tcBorders>
            <w:noWrap w:val="0"/>
            <w:vAlign w:val="center"/>
          </w:tcPr>
          <w:p w14:paraId="2BC6C324">
            <w:pPr>
              <w:widowControl/>
              <w:jc w:val="center"/>
              <w:rPr>
                <w:rFonts w:hint="eastAsia" w:ascii="宋体" w:hAnsi="宋体" w:eastAsia="宋体" w:cs="宋体"/>
                <w:color w:val="FF0000"/>
                <w:kern w:val="0"/>
                <w:sz w:val="21"/>
                <w:szCs w:val="21"/>
              </w:rPr>
            </w:pPr>
          </w:p>
        </w:tc>
        <w:tc>
          <w:tcPr>
            <w:tcW w:w="2016" w:type="dxa"/>
            <w:tcBorders>
              <w:top w:val="nil"/>
              <w:left w:val="single" w:color="auto" w:sz="4" w:space="0"/>
              <w:bottom w:val="single" w:color="auto" w:sz="4" w:space="0"/>
              <w:right w:val="single" w:color="auto" w:sz="4" w:space="0"/>
            </w:tcBorders>
            <w:noWrap w:val="0"/>
            <w:vAlign w:val="center"/>
          </w:tcPr>
          <w:p w14:paraId="7BEBBF2C">
            <w:pPr>
              <w:widowControl/>
              <w:jc w:val="center"/>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≥1L　</w:t>
            </w:r>
          </w:p>
        </w:tc>
      </w:tr>
      <w:tr w14:paraId="14AC6A90">
        <w:tblPrEx>
          <w:tblCellMar>
            <w:top w:w="0" w:type="dxa"/>
            <w:left w:w="108" w:type="dxa"/>
            <w:bottom w:w="0" w:type="dxa"/>
            <w:right w:w="108" w:type="dxa"/>
          </w:tblCellMar>
        </w:tblPrEx>
        <w:trPr>
          <w:trHeight w:val="720" w:hRule="atLeast"/>
        </w:trPr>
        <w:tc>
          <w:tcPr>
            <w:tcW w:w="5614" w:type="dxa"/>
            <w:gridSpan w:val="6"/>
            <w:tcBorders>
              <w:top w:val="single" w:color="auto" w:sz="4" w:space="0"/>
              <w:left w:val="single" w:color="auto" w:sz="4" w:space="0"/>
              <w:bottom w:val="single" w:color="auto" w:sz="4" w:space="0"/>
              <w:right w:val="single" w:color="auto" w:sz="4" w:space="0"/>
            </w:tcBorders>
            <w:noWrap w:val="0"/>
            <w:vAlign w:val="center"/>
          </w:tcPr>
          <w:p w14:paraId="3C18E936">
            <w:pPr>
              <w:widowControl/>
              <w:jc w:val="center"/>
              <w:rPr>
                <w:rFonts w:hint="eastAsia" w:ascii="宋体" w:hAnsi="宋体" w:eastAsia="宋体" w:cs="宋体"/>
                <w:color w:val="FF0000"/>
                <w:kern w:val="0"/>
                <w:sz w:val="21"/>
                <w:szCs w:val="21"/>
                <w:lang w:val="en-US" w:eastAsia="zh-CN"/>
              </w:rPr>
            </w:pPr>
            <w:r>
              <w:rPr>
                <w:rFonts w:hint="eastAsia" w:ascii="宋体" w:hAnsi="宋体" w:eastAsia="宋体" w:cs="宋体"/>
                <w:color w:val="FF0000"/>
                <w:kern w:val="0"/>
                <w:sz w:val="21"/>
                <w:szCs w:val="21"/>
                <w:lang w:val="en-US" w:eastAsia="zh-CN"/>
              </w:rPr>
              <w:t>总计（元）：</w:t>
            </w:r>
          </w:p>
        </w:tc>
        <w:tc>
          <w:tcPr>
            <w:tcW w:w="3682" w:type="dxa"/>
            <w:gridSpan w:val="3"/>
            <w:tcBorders>
              <w:top w:val="single" w:color="auto" w:sz="4" w:space="0"/>
              <w:left w:val="nil"/>
              <w:bottom w:val="single" w:color="auto" w:sz="4" w:space="0"/>
              <w:right w:val="single" w:color="auto" w:sz="4" w:space="0"/>
            </w:tcBorders>
            <w:noWrap w:val="0"/>
            <w:vAlign w:val="center"/>
          </w:tcPr>
          <w:p w14:paraId="0BD2CF9C">
            <w:pPr>
              <w:widowControl/>
              <w:jc w:val="center"/>
              <w:rPr>
                <w:rFonts w:hint="eastAsia" w:ascii="宋体" w:hAnsi="宋体" w:eastAsia="宋体" w:cs="宋体"/>
                <w:color w:val="FF0000"/>
                <w:kern w:val="0"/>
                <w:sz w:val="21"/>
                <w:szCs w:val="21"/>
              </w:rPr>
            </w:pPr>
          </w:p>
        </w:tc>
      </w:tr>
      <w:tr w14:paraId="0B3777A7">
        <w:tblPrEx>
          <w:tblCellMar>
            <w:top w:w="0" w:type="dxa"/>
            <w:left w:w="108" w:type="dxa"/>
            <w:bottom w:w="0" w:type="dxa"/>
            <w:right w:w="108" w:type="dxa"/>
          </w:tblCellMar>
        </w:tblPrEx>
        <w:trPr>
          <w:trHeight w:val="720" w:hRule="atLeast"/>
        </w:trPr>
        <w:tc>
          <w:tcPr>
            <w:tcW w:w="5614" w:type="dxa"/>
            <w:gridSpan w:val="6"/>
            <w:tcBorders>
              <w:top w:val="single" w:color="auto" w:sz="4" w:space="0"/>
              <w:left w:val="single" w:color="auto" w:sz="4" w:space="0"/>
              <w:bottom w:val="single" w:color="auto" w:sz="4" w:space="0"/>
              <w:right w:val="single" w:color="auto" w:sz="4" w:space="0"/>
            </w:tcBorders>
            <w:noWrap w:val="0"/>
            <w:vAlign w:val="center"/>
          </w:tcPr>
          <w:p w14:paraId="4D4F0A12">
            <w:pPr>
              <w:widowControl/>
              <w:jc w:val="center"/>
              <w:rPr>
                <w:rFonts w:hint="eastAsia" w:ascii="宋体" w:hAnsi="宋体" w:eastAsia="宋体" w:cs="宋体"/>
                <w:color w:val="FF0000"/>
                <w:kern w:val="0"/>
                <w:sz w:val="21"/>
                <w:szCs w:val="21"/>
                <w:lang w:val="en-US" w:eastAsia="zh-CN"/>
              </w:rPr>
            </w:pPr>
            <w:r>
              <w:rPr>
                <w:rFonts w:hint="eastAsia" w:ascii="宋体" w:hAnsi="宋体" w:eastAsia="宋体" w:cs="宋体"/>
                <w:color w:val="FF0000"/>
                <w:kern w:val="0"/>
                <w:sz w:val="21"/>
                <w:szCs w:val="21"/>
                <w:lang w:val="en-US" w:eastAsia="zh-CN"/>
              </w:rPr>
              <w:t>质保期（年）：</w:t>
            </w:r>
          </w:p>
        </w:tc>
        <w:tc>
          <w:tcPr>
            <w:tcW w:w="3682" w:type="dxa"/>
            <w:gridSpan w:val="3"/>
            <w:tcBorders>
              <w:top w:val="single" w:color="auto" w:sz="4" w:space="0"/>
              <w:left w:val="nil"/>
              <w:bottom w:val="single" w:color="auto" w:sz="4" w:space="0"/>
              <w:right w:val="single" w:color="auto" w:sz="4" w:space="0"/>
            </w:tcBorders>
            <w:noWrap w:val="0"/>
            <w:vAlign w:val="center"/>
          </w:tcPr>
          <w:p w14:paraId="545EA4A3">
            <w:pPr>
              <w:widowControl/>
              <w:jc w:val="center"/>
              <w:rPr>
                <w:rFonts w:hint="eastAsia" w:ascii="宋体" w:hAnsi="宋体" w:eastAsia="宋体" w:cs="宋体"/>
                <w:color w:val="FF0000"/>
                <w:kern w:val="0"/>
                <w:sz w:val="21"/>
                <w:szCs w:val="21"/>
              </w:rPr>
            </w:pPr>
          </w:p>
        </w:tc>
      </w:tr>
    </w:tbl>
    <w:p w14:paraId="5A660A57">
      <w:pPr>
        <w:tabs>
          <w:tab w:val="left" w:pos="1134"/>
        </w:tabs>
        <w:jc w:val="both"/>
        <w:rPr>
          <w:rFonts w:hint="eastAsia" w:ascii="黑体" w:hAnsi="黑体" w:eastAsia="黑体"/>
          <w:color w:val="000000" w:themeColor="text1"/>
          <w:sz w:val="32"/>
          <w:szCs w:val="32"/>
          <w:lang w:val="en-US" w:eastAsia="zh-CN"/>
          <w14:textFill>
            <w14:solidFill>
              <w14:schemeClr w14:val="tx1"/>
            </w14:solidFill>
          </w14:textFill>
        </w:rPr>
      </w:pPr>
      <w:r>
        <w:rPr>
          <w:rFonts w:hint="eastAsia" w:ascii="黑体" w:hAnsi="黑体" w:eastAsia="黑体"/>
          <w:color w:val="000000" w:themeColor="text1"/>
          <w:sz w:val="32"/>
          <w:szCs w:val="32"/>
          <w:lang w:val="en-US" w:eastAsia="zh-CN"/>
          <w14:textFill>
            <w14:solidFill>
              <w14:schemeClr w14:val="tx1"/>
            </w14:solidFill>
          </w14:textFill>
        </w:rPr>
        <w:t>注：</w:t>
      </w:r>
      <w:r>
        <w:rPr>
          <w:rFonts w:hint="eastAsia" w:ascii="宋体" w:hAnsi="宋体" w:eastAsia="宋体" w:cs="宋体"/>
          <w:color w:val="FF0000"/>
          <w:sz w:val="24"/>
          <w:szCs w:val="24"/>
          <w:shd w:val="clear" w:color="auto" w:fill="auto"/>
          <w:lang w:val="en-US" w:eastAsia="zh-CN"/>
        </w:rPr>
        <w:t>按照报价表进行报价。单价为包干价，包含但不限于运输费、货款保险费、税费等各项费用，以及成交供应商人工工资、奖金、福利、社保、管理、交通、运输、利润、税金、风险费等在内的所有费用。因成交供应商自身原因造成漏报、少报皆由其自行承担责任，采购人不再补偿。</w:t>
      </w:r>
    </w:p>
    <w:p w14:paraId="7667E69E">
      <w:pPr>
        <w:spacing w:line="500" w:lineRule="exact"/>
        <w:ind w:firstLine="4680" w:firstLineChars="195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供应商名称（公章）或自然人签署：</w:t>
      </w:r>
    </w:p>
    <w:p w14:paraId="3ADF4C3D">
      <w:pPr>
        <w:spacing w:line="500" w:lineRule="exact"/>
        <w:ind w:firstLine="48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年     月     日</w:t>
      </w:r>
    </w:p>
    <w:p w14:paraId="6A1757E7">
      <w:pPr>
        <w:outlineLvl w:val="0"/>
        <w:rPr>
          <w:rFonts w:hint="eastAsia" w:ascii="宋体" w:hAnsi="宋体" w:eastAsia="宋体" w:cs="宋体"/>
          <w:b/>
          <w:color w:val="000000" w:themeColor="text1"/>
          <w:shd w:val="clear" w:color="auto" w:fill="auto"/>
          <w14:textFill>
            <w14:solidFill>
              <w14:schemeClr w14:val="tx1"/>
            </w14:solidFill>
          </w14:textFill>
        </w:rPr>
      </w:pPr>
    </w:p>
    <w:p w14:paraId="14E1EF44">
      <w:pPr>
        <w:outlineLvl w:val="0"/>
        <w:rPr>
          <w:rFonts w:hint="eastAsia" w:ascii="宋体" w:hAnsi="宋体" w:eastAsia="宋体" w:cs="宋体"/>
          <w:b/>
          <w:color w:val="000000" w:themeColor="text1"/>
          <w:shd w:val="clear" w:color="auto" w:fill="auto"/>
          <w14:textFill>
            <w14:solidFill>
              <w14:schemeClr w14:val="tx1"/>
            </w14:solidFill>
          </w14:textFill>
        </w:rPr>
      </w:pPr>
    </w:p>
    <w:p w14:paraId="1B93E9FB">
      <w:pPr>
        <w:outlineLvl w:val="0"/>
        <w:rPr>
          <w:rFonts w:hint="eastAsia" w:ascii="宋体" w:hAnsi="宋体" w:eastAsia="宋体" w:cs="宋体"/>
          <w:b/>
          <w:color w:val="000000" w:themeColor="text1"/>
          <w:shd w:val="clear" w:color="auto" w:fill="auto"/>
          <w14:textFill>
            <w14:solidFill>
              <w14:schemeClr w14:val="tx1"/>
            </w14:solidFill>
          </w14:textFill>
        </w:rPr>
      </w:pPr>
    </w:p>
    <w:p w14:paraId="622FA8B5">
      <w:pPr>
        <w:outlineLvl w:val="0"/>
        <w:rPr>
          <w:rFonts w:hint="eastAsia" w:ascii="宋体" w:hAnsi="宋体" w:eastAsia="宋体" w:cs="宋体"/>
          <w:b/>
          <w:color w:val="000000" w:themeColor="text1"/>
          <w:shd w:val="clear" w:color="auto" w:fill="auto"/>
          <w14:textFill>
            <w14:solidFill>
              <w14:schemeClr w14:val="tx1"/>
            </w14:solidFill>
          </w14:textFill>
        </w:rPr>
      </w:pPr>
    </w:p>
    <w:p w14:paraId="0711E1BB">
      <w:pPr>
        <w:outlineLvl w:val="0"/>
        <w:rPr>
          <w:rFonts w:hint="eastAsia" w:ascii="宋体" w:hAnsi="宋体" w:eastAsia="宋体" w:cs="宋体"/>
          <w:b/>
          <w:color w:val="000000" w:themeColor="text1"/>
          <w:shd w:val="clear" w:color="auto" w:fill="auto"/>
          <w14:textFill>
            <w14:solidFill>
              <w14:schemeClr w14:val="tx1"/>
            </w14:solidFill>
          </w14:textFill>
        </w:rPr>
      </w:pPr>
    </w:p>
    <w:p w14:paraId="6DB4C7D5">
      <w:pPr>
        <w:outlineLvl w:val="0"/>
        <w:rPr>
          <w:rFonts w:hint="eastAsia" w:ascii="宋体" w:hAnsi="宋体" w:eastAsia="宋体" w:cs="宋体"/>
          <w:b/>
          <w:color w:val="000000" w:themeColor="text1"/>
          <w:shd w:val="clear" w:color="auto" w:fill="auto"/>
          <w14:textFill>
            <w14:solidFill>
              <w14:schemeClr w14:val="tx1"/>
            </w14:solidFill>
          </w14:textFill>
        </w:rPr>
      </w:pPr>
    </w:p>
    <w:p w14:paraId="59488B92">
      <w:pPr>
        <w:outlineLvl w:val="0"/>
        <w:rPr>
          <w:rFonts w:hint="eastAsia" w:ascii="宋体" w:hAnsi="宋体" w:eastAsia="宋体" w:cs="宋体"/>
          <w:b/>
          <w:color w:val="000000" w:themeColor="text1"/>
          <w:shd w:val="clear" w:color="auto" w:fill="auto"/>
          <w14:textFill>
            <w14:solidFill>
              <w14:schemeClr w14:val="tx1"/>
            </w14:solidFill>
          </w14:textFill>
        </w:rPr>
      </w:pPr>
    </w:p>
    <w:p w14:paraId="30ADFE94">
      <w:pPr>
        <w:outlineLvl w:val="0"/>
        <w:rPr>
          <w:rFonts w:hint="eastAsia" w:ascii="宋体" w:hAnsi="宋体" w:eastAsia="宋体" w:cs="宋体"/>
          <w:b/>
          <w:color w:val="000000" w:themeColor="text1"/>
          <w:shd w:val="clear" w:color="auto" w:fill="auto"/>
          <w14:textFill>
            <w14:solidFill>
              <w14:schemeClr w14:val="tx1"/>
            </w14:solidFill>
          </w14:textFill>
        </w:rPr>
      </w:pPr>
    </w:p>
    <w:p w14:paraId="0CA195FE">
      <w:pPr>
        <w:outlineLvl w:val="0"/>
        <w:rPr>
          <w:rFonts w:hint="eastAsia" w:ascii="宋体" w:hAnsi="宋体" w:eastAsia="宋体" w:cs="宋体"/>
          <w:b/>
          <w:color w:val="000000" w:themeColor="text1"/>
          <w:shd w:val="clear" w:color="auto" w:fill="auto"/>
          <w14:textFill>
            <w14:solidFill>
              <w14:schemeClr w14:val="tx1"/>
            </w14:solidFill>
          </w14:textFill>
        </w:rPr>
      </w:pPr>
    </w:p>
    <w:p w14:paraId="325EB50C">
      <w:pPr>
        <w:outlineLvl w:val="0"/>
        <w:rPr>
          <w:rFonts w:hint="eastAsia" w:ascii="宋体" w:hAnsi="宋体" w:eastAsia="宋体" w:cs="宋体"/>
          <w:b/>
          <w:color w:val="000000" w:themeColor="text1"/>
          <w:shd w:val="clear" w:color="auto" w:fill="auto"/>
          <w14:textFill>
            <w14:solidFill>
              <w14:schemeClr w14:val="tx1"/>
            </w14:solidFill>
          </w14:textFill>
        </w:rPr>
      </w:pPr>
    </w:p>
    <w:p w14:paraId="04C83953">
      <w:pPr>
        <w:outlineLvl w:val="0"/>
        <w:rPr>
          <w:rFonts w:hint="eastAsia" w:ascii="宋体" w:hAnsi="宋体" w:eastAsia="宋体" w:cs="宋体"/>
          <w:b/>
          <w:color w:val="000000" w:themeColor="text1"/>
          <w:shd w:val="clear" w:color="auto" w:fill="auto"/>
          <w14:textFill>
            <w14:solidFill>
              <w14:schemeClr w14:val="tx1"/>
            </w14:solidFill>
          </w14:textFill>
        </w:rPr>
      </w:pPr>
    </w:p>
    <w:p w14:paraId="130991AC">
      <w:pPr>
        <w:outlineLvl w:val="0"/>
        <w:rPr>
          <w:rFonts w:hint="eastAsia" w:ascii="宋体" w:hAnsi="宋体" w:eastAsia="宋体" w:cs="宋体"/>
          <w:b/>
          <w:color w:val="000000" w:themeColor="text1"/>
          <w:shd w:val="clear" w:color="auto" w:fill="auto"/>
          <w14:textFill>
            <w14:solidFill>
              <w14:schemeClr w14:val="tx1"/>
            </w14:solidFill>
          </w14:textFill>
        </w:rPr>
      </w:pPr>
    </w:p>
    <w:p w14:paraId="290064CB">
      <w:pPr>
        <w:outlineLvl w:val="0"/>
        <w:rPr>
          <w:rFonts w:hint="eastAsia" w:ascii="宋体" w:hAnsi="宋体" w:eastAsia="宋体" w:cs="宋体"/>
          <w:b/>
          <w:color w:val="000000" w:themeColor="text1"/>
          <w:shd w:val="clear" w:color="auto" w:fill="auto"/>
          <w14:textFill>
            <w14:solidFill>
              <w14:schemeClr w14:val="tx1"/>
            </w14:solidFill>
          </w14:textFill>
        </w:rPr>
      </w:pPr>
    </w:p>
    <w:p w14:paraId="766A290D">
      <w:pPr>
        <w:outlineLvl w:val="0"/>
        <w:rPr>
          <w:rFonts w:hint="eastAsia" w:ascii="宋体" w:hAnsi="宋体" w:eastAsia="宋体" w:cs="宋体"/>
          <w:b/>
          <w:color w:val="000000" w:themeColor="text1"/>
          <w:shd w:val="clear" w:color="auto" w:fill="auto"/>
          <w14:textFill>
            <w14:solidFill>
              <w14:schemeClr w14:val="tx1"/>
            </w14:solidFill>
          </w14:textFill>
        </w:rPr>
      </w:pPr>
    </w:p>
    <w:p w14:paraId="466766ED">
      <w:pPr>
        <w:outlineLvl w:val="0"/>
        <w:rPr>
          <w:rFonts w:hint="eastAsia" w:ascii="宋体" w:hAnsi="宋体" w:eastAsia="宋体" w:cs="宋体"/>
          <w:b/>
          <w:color w:val="000000" w:themeColor="text1"/>
          <w:shd w:val="clear" w:color="auto" w:fill="auto"/>
          <w14:textFill>
            <w14:solidFill>
              <w14:schemeClr w14:val="tx1"/>
            </w14:solidFill>
          </w14:textFill>
        </w:rPr>
      </w:pPr>
    </w:p>
    <w:p w14:paraId="2E5B6286">
      <w:pPr>
        <w:outlineLvl w:val="0"/>
        <w:rPr>
          <w:rFonts w:hint="eastAsia" w:ascii="宋体" w:hAnsi="宋体" w:eastAsia="宋体" w:cs="宋体"/>
          <w:b/>
          <w:color w:val="000000" w:themeColor="text1"/>
          <w:shd w:val="clear" w:color="auto" w:fill="auto"/>
          <w14:textFill>
            <w14:solidFill>
              <w14:schemeClr w14:val="tx1"/>
            </w14:solidFill>
          </w14:textFill>
        </w:rPr>
      </w:pPr>
    </w:p>
    <w:p w14:paraId="2A83494A">
      <w:pPr>
        <w:outlineLvl w:val="0"/>
        <w:rPr>
          <w:rFonts w:hint="eastAsia" w:ascii="宋体" w:hAnsi="宋体" w:eastAsia="宋体" w:cs="宋体"/>
          <w:b/>
          <w:color w:val="000000" w:themeColor="text1"/>
          <w:shd w:val="clear" w:color="auto" w:fill="auto"/>
          <w14:textFill>
            <w14:solidFill>
              <w14:schemeClr w14:val="tx1"/>
            </w14:solidFill>
          </w14:textFill>
        </w:rPr>
      </w:pPr>
    </w:p>
    <w:p w14:paraId="4F72DC4B">
      <w:pPr>
        <w:outlineLvl w:val="0"/>
        <w:rPr>
          <w:rFonts w:hint="eastAsia" w:ascii="宋体" w:hAnsi="宋体" w:eastAsia="宋体" w:cs="宋体"/>
          <w:b/>
          <w:color w:val="000000" w:themeColor="text1"/>
          <w:shd w:val="clear" w:color="auto" w:fill="auto"/>
          <w14:textFill>
            <w14:solidFill>
              <w14:schemeClr w14:val="tx1"/>
            </w14:solidFill>
          </w14:textFill>
        </w:rPr>
      </w:pPr>
    </w:p>
    <w:p w14:paraId="74529586">
      <w:pPr>
        <w:outlineLvl w:val="0"/>
        <w:rPr>
          <w:rFonts w:hint="eastAsia" w:ascii="宋体" w:hAnsi="宋体" w:eastAsia="宋体" w:cs="宋体"/>
          <w:b/>
          <w:color w:val="000000" w:themeColor="text1"/>
          <w:shd w:val="clear" w:color="auto" w:fill="auto"/>
          <w14:textFill>
            <w14:solidFill>
              <w14:schemeClr w14:val="tx1"/>
            </w14:solidFill>
          </w14:textFill>
        </w:rPr>
      </w:pPr>
    </w:p>
    <w:p w14:paraId="1A47D425">
      <w:pPr>
        <w:outlineLvl w:val="0"/>
        <w:rPr>
          <w:rFonts w:hint="eastAsia" w:ascii="宋体" w:hAnsi="宋体" w:eastAsia="宋体" w:cs="宋体"/>
          <w:b/>
          <w:color w:val="000000" w:themeColor="text1"/>
          <w:shd w:val="clear" w:color="auto" w:fill="auto"/>
          <w14:textFill>
            <w14:solidFill>
              <w14:schemeClr w14:val="tx1"/>
            </w14:solidFill>
          </w14:textFill>
        </w:rPr>
      </w:pPr>
    </w:p>
    <w:p w14:paraId="52011955">
      <w:pPr>
        <w:outlineLvl w:val="0"/>
        <w:rPr>
          <w:rFonts w:hint="eastAsia" w:ascii="宋体" w:hAnsi="宋体" w:eastAsia="宋体" w:cs="宋体"/>
          <w:b/>
          <w:color w:val="000000" w:themeColor="text1"/>
          <w:shd w:val="clear" w:color="auto" w:fill="auto"/>
          <w14:textFill>
            <w14:solidFill>
              <w14:schemeClr w14:val="tx1"/>
            </w14:solidFill>
          </w14:textFill>
        </w:rPr>
      </w:pPr>
    </w:p>
    <w:p w14:paraId="15099858">
      <w:pPr>
        <w:outlineLvl w:val="0"/>
        <w:rPr>
          <w:rFonts w:hint="eastAsia" w:ascii="宋体" w:hAnsi="宋体" w:eastAsia="宋体" w:cs="宋体"/>
          <w:b/>
          <w:color w:val="000000" w:themeColor="text1"/>
          <w:shd w:val="clear" w:color="auto" w:fill="auto"/>
          <w14:textFill>
            <w14:solidFill>
              <w14:schemeClr w14:val="tx1"/>
            </w14:solidFill>
          </w14:textFill>
        </w:rPr>
      </w:pPr>
    </w:p>
    <w:p w14:paraId="55269010">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13844"/>
      <w:bookmarkStart w:id="167" w:name="_Toc485108798"/>
      <w:bookmarkStart w:id="168" w:name="_Toc480979020"/>
      <w:bookmarkStart w:id="169" w:name="_Toc342913421"/>
      <w:bookmarkStart w:id="170" w:name="_Toc313888362"/>
      <w:bookmarkStart w:id="171" w:name="_Toc15203"/>
      <w:bookmarkStart w:id="172"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23584"/>
      <w:bookmarkStart w:id="178"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008359"/>
      <w:bookmarkStart w:id="180" w:name="_Toc342913422"/>
      <w:bookmarkStart w:id="181" w:name="_Toc313888363"/>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7"/>
      <w:bookmarkStart w:id="183"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color w:val="000000" w:themeColor="text1"/>
          <w:szCs w:val="24"/>
          <w14:textFill>
            <w14:solidFill>
              <w14:schemeClr w14:val="tx1"/>
            </w14:solidFill>
          </w14:textFill>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27212"/>
      <w:bookmarkStart w:id="18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8EE03F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A51EB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FC35C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09CBC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13DA1CC">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5A9AE903">
      <w:pPr>
        <w:rPr>
          <w:color w:val="000000" w:themeColor="text1"/>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EC737DC-DB82-4CB7-9922-885CEB73F8A6}"/>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2" w:fontKey="{2091614F-6D19-4C44-B614-BA55B1B3B1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39AA"/>
    <w:rsid w:val="00395055"/>
    <w:rsid w:val="003B5B3E"/>
    <w:rsid w:val="003C571A"/>
    <w:rsid w:val="003C65D5"/>
    <w:rsid w:val="00446003"/>
    <w:rsid w:val="0048109C"/>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53D9C"/>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114C"/>
    <w:rsid w:val="00F42D01"/>
    <w:rsid w:val="00F46D9E"/>
    <w:rsid w:val="00F612D7"/>
    <w:rsid w:val="00F77324"/>
    <w:rsid w:val="00FA72A1"/>
    <w:rsid w:val="00FF1BDE"/>
    <w:rsid w:val="01067A49"/>
    <w:rsid w:val="015A3746"/>
    <w:rsid w:val="01C63C32"/>
    <w:rsid w:val="021D673F"/>
    <w:rsid w:val="024043A7"/>
    <w:rsid w:val="02B325DC"/>
    <w:rsid w:val="02D84414"/>
    <w:rsid w:val="02FE0C09"/>
    <w:rsid w:val="034872EB"/>
    <w:rsid w:val="037759DB"/>
    <w:rsid w:val="03921202"/>
    <w:rsid w:val="039C4C1C"/>
    <w:rsid w:val="03BB3ADF"/>
    <w:rsid w:val="03C2134C"/>
    <w:rsid w:val="03D1158F"/>
    <w:rsid w:val="04B117F8"/>
    <w:rsid w:val="04DA26C6"/>
    <w:rsid w:val="04DE1E0F"/>
    <w:rsid w:val="04F00597"/>
    <w:rsid w:val="05290F57"/>
    <w:rsid w:val="05AB6E25"/>
    <w:rsid w:val="05E64439"/>
    <w:rsid w:val="05E94CDF"/>
    <w:rsid w:val="060E092E"/>
    <w:rsid w:val="065A1406"/>
    <w:rsid w:val="067D7A0C"/>
    <w:rsid w:val="06A45EA9"/>
    <w:rsid w:val="06BC1BB0"/>
    <w:rsid w:val="072F6440"/>
    <w:rsid w:val="074B1659"/>
    <w:rsid w:val="07911761"/>
    <w:rsid w:val="07C5765D"/>
    <w:rsid w:val="07F26429"/>
    <w:rsid w:val="084C34CD"/>
    <w:rsid w:val="09310382"/>
    <w:rsid w:val="094176DB"/>
    <w:rsid w:val="0951448A"/>
    <w:rsid w:val="0983062E"/>
    <w:rsid w:val="0ACB5503"/>
    <w:rsid w:val="0ACF458A"/>
    <w:rsid w:val="0B340317"/>
    <w:rsid w:val="0B6515A1"/>
    <w:rsid w:val="0B6F68C5"/>
    <w:rsid w:val="0BAE21B6"/>
    <w:rsid w:val="0BDC31C7"/>
    <w:rsid w:val="0BE1258C"/>
    <w:rsid w:val="0BE64970"/>
    <w:rsid w:val="0C033E70"/>
    <w:rsid w:val="0C2F4286"/>
    <w:rsid w:val="0C3152C1"/>
    <w:rsid w:val="0C481EEF"/>
    <w:rsid w:val="0C56674E"/>
    <w:rsid w:val="0C72264C"/>
    <w:rsid w:val="0C931BB2"/>
    <w:rsid w:val="0C975B64"/>
    <w:rsid w:val="0C9D3992"/>
    <w:rsid w:val="0D32097D"/>
    <w:rsid w:val="0D7E5EAD"/>
    <w:rsid w:val="0DC167EC"/>
    <w:rsid w:val="0DCB3FCC"/>
    <w:rsid w:val="0E0E625A"/>
    <w:rsid w:val="0E38674E"/>
    <w:rsid w:val="0E4D3D6E"/>
    <w:rsid w:val="0E5721EA"/>
    <w:rsid w:val="0E5A796A"/>
    <w:rsid w:val="0E5B5064"/>
    <w:rsid w:val="0E5B6625"/>
    <w:rsid w:val="0E9859A3"/>
    <w:rsid w:val="0E987B2D"/>
    <w:rsid w:val="0ECE4584"/>
    <w:rsid w:val="0F291536"/>
    <w:rsid w:val="0F31382A"/>
    <w:rsid w:val="0FAB0EE6"/>
    <w:rsid w:val="0FC701EB"/>
    <w:rsid w:val="0FCD0A4F"/>
    <w:rsid w:val="0FD61CDB"/>
    <w:rsid w:val="0FD8306F"/>
    <w:rsid w:val="0FFD1C5A"/>
    <w:rsid w:val="1014334F"/>
    <w:rsid w:val="10246EEB"/>
    <w:rsid w:val="10413B50"/>
    <w:rsid w:val="104D689B"/>
    <w:rsid w:val="109D57E0"/>
    <w:rsid w:val="10B17251"/>
    <w:rsid w:val="10BA59BE"/>
    <w:rsid w:val="10BF5E9B"/>
    <w:rsid w:val="111523FC"/>
    <w:rsid w:val="111C3A01"/>
    <w:rsid w:val="114A7245"/>
    <w:rsid w:val="11782A26"/>
    <w:rsid w:val="11E44902"/>
    <w:rsid w:val="13141499"/>
    <w:rsid w:val="131D034D"/>
    <w:rsid w:val="133C3066"/>
    <w:rsid w:val="134E0964"/>
    <w:rsid w:val="13633F56"/>
    <w:rsid w:val="13653AA2"/>
    <w:rsid w:val="13D52C1B"/>
    <w:rsid w:val="13F41DC8"/>
    <w:rsid w:val="144B1714"/>
    <w:rsid w:val="14B95EDB"/>
    <w:rsid w:val="14C6168E"/>
    <w:rsid w:val="14C6556D"/>
    <w:rsid w:val="14E12006"/>
    <w:rsid w:val="14E62A1D"/>
    <w:rsid w:val="15265D3F"/>
    <w:rsid w:val="154047C7"/>
    <w:rsid w:val="154C4C37"/>
    <w:rsid w:val="1554725E"/>
    <w:rsid w:val="15604521"/>
    <w:rsid w:val="156125ED"/>
    <w:rsid w:val="158D32E0"/>
    <w:rsid w:val="15D171CD"/>
    <w:rsid w:val="16167345"/>
    <w:rsid w:val="16243DF1"/>
    <w:rsid w:val="165A4E2F"/>
    <w:rsid w:val="17E52B34"/>
    <w:rsid w:val="18130842"/>
    <w:rsid w:val="181A1C79"/>
    <w:rsid w:val="18465822"/>
    <w:rsid w:val="18675712"/>
    <w:rsid w:val="188B43F5"/>
    <w:rsid w:val="18E50010"/>
    <w:rsid w:val="18F71640"/>
    <w:rsid w:val="19394057"/>
    <w:rsid w:val="199C2358"/>
    <w:rsid w:val="19B7492C"/>
    <w:rsid w:val="1A511E59"/>
    <w:rsid w:val="1A555C2C"/>
    <w:rsid w:val="1A705757"/>
    <w:rsid w:val="1AE4406F"/>
    <w:rsid w:val="1AE84C93"/>
    <w:rsid w:val="1B1D5FE3"/>
    <w:rsid w:val="1B484046"/>
    <w:rsid w:val="1B4A5E5B"/>
    <w:rsid w:val="1B925650"/>
    <w:rsid w:val="1C0025BA"/>
    <w:rsid w:val="1C66752D"/>
    <w:rsid w:val="1C6945DA"/>
    <w:rsid w:val="1CD22D64"/>
    <w:rsid w:val="1CED540D"/>
    <w:rsid w:val="1CF33ECD"/>
    <w:rsid w:val="1CF736B7"/>
    <w:rsid w:val="1D1757E6"/>
    <w:rsid w:val="1D624A3F"/>
    <w:rsid w:val="1D632E00"/>
    <w:rsid w:val="1DCB5B8A"/>
    <w:rsid w:val="1DD87EDC"/>
    <w:rsid w:val="1DDA4D59"/>
    <w:rsid w:val="1E242829"/>
    <w:rsid w:val="1E570CBF"/>
    <w:rsid w:val="1E8652AA"/>
    <w:rsid w:val="1E9D4968"/>
    <w:rsid w:val="1EB13D33"/>
    <w:rsid w:val="1EB8776E"/>
    <w:rsid w:val="1ECC73BB"/>
    <w:rsid w:val="1EEA6CFF"/>
    <w:rsid w:val="1F062593"/>
    <w:rsid w:val="1F08489B"/>
    <w:rsid w:val="1F2D0A6E"/>
    <w:rsid w:val="1F3A098C"/>
    <w:rsid w:val="1F3D23B3"/>
    <w:rsid w:val="1F6A74CC"/>
    <w:rsid w:val="1F6D6E4A"/>
    <w:rsid w:val="1F8009D9"/>
    <w:rsid w:val="1FA140B4"/>
    <w:rsid w:val="1FCE723D"/>
    <w:rsid w:val="1FD702B4"/>
    <w:rsid w:val="20084BEF"/>
    <w:rsid w:val="203372B2"/>
    <w:rsid w:val="204004F3"/>
    <w:rsid w:val="204C6181"/>
    <w:rsid w:val="20FB0BC7"/>
    <w:rsid w:val="2114239C"/>
    <w:rsid w:val="211803A6"/>
    <w:rsid w:val="216435EB"/>
    <w:rsid w:val="21C45BE8"/>
    <w:rsid w:val="21F2776F"/>
    <w:rsid w:val="21F678C9"/>
    <w:rsid w:val="21F94F0D"/>
    <w:rsid w:val="224F1BA5"/>
    <w:rsid w:val="22EF7055"/>
    <w:rsid w:val="231132FF"/>
    <w:rsid w:val="23743B1F"/>
    <w:rsid w:val="240C0392"/>
    <w:rsid w:val="24514D5A"/>
    <w:rsid w:val="24702D9C"/>
    <w:rsid w:val="24AB13E3"/>
    <w:rsid w:val="24E707BB"/>
    <w:rsid w:val="2501636C"/>
    <w:rsid w:val="254D6667"/>
    <w:rsid w:val="25565863"/>
    <w:rsid w:val="25B67319"/>
    <w:rsid w:val="25B7688A"/>
    <w:rsid w:val="25B91E1A"/>
    <w:rsid w:val="25FF0C6B"/>
    <w:rsid w:val="26380176"/>
    <w:rsid w:val="26A440C8"/>
    <w:rsid w:val="26D56CF3"/>
    <w:rsid w:val="26FE2E6F"/>
    <w:rsid w:val="271637DE"/>
    <w:rsid w:val="271E4A07"/>
    <w:rsid w:val="275D539C"/>
    <w:rsid w:val="27706A3C"/>
    <w:rsid w:val="27B41749"/>
    <w:rsid w:val="27BE30B5"/>
    <w:rsid w:val="27C12149"/>
    <w:rsid w:val="28031161"/>
    <w:rsid w:val="282105EF"/>
    <w:rsid w:val="282D107F"/>
    <w:rsid w:val="28377F6C"/>
    <w:rsid w:val="28580457"/>
    <w:rsid w:val="287535CD"/>
    <w:rsid w:val="28CD4235"/>
    <w:rsid w:val="28D01566"/>
    <w:rsid w:val="28E31299"/>
    <w:rsid w:val="293D6BFB"/>
    <w:rsid w:val="29430470"/>
    <w:rsid w:val="29613037"/>
    <w:rsid w:val="29A81CF0"/>
    <w:rsid w:val="29F52A7C"/>
    <w:rsid w:val="2A0526D0"/>
    <w:rsid w:val="2A0812C8"/>
    <w:rsid w:val="2B2C4917"/>
    <w:rsid w:val="2B3D6767"/>
    <w:rsid w:val="2B411C38"/>
    <w:rsid w:val="2B507DFE"/>
    <w:rsid w:val="2B57565F"/>
    <w:rsid w:val="2BBD2276"/>
    <w:rsid w:val="2C812A23"/>
    <w:rsid w:val="2C86125B"/>
    <w:rsid w:val="2CDF621C"/>
    <w:rsid w:val="2CE02E81"/>
    <w:rsid w:val="2CF2794B"/>
    <w:rsid w:val="2D9073ED"/>
    <w:rsid w:val="2DDB0955"/>
    <w:rsid w:val="2DDE0220"/>
    <w:rsid w:val="2E1F2D74"/>
    <w:rsid w:val="2E454084"/>
    <w:rsid w:val="2E4A05E4"/>
    <w:rsid w:val="2E6141F3"/>
    <w:rsid w:val="2E8A3F18"/>
    <w:rsid w:val="2F124686"/>
    <w:rsid w:val="2F1F1F02"/>
    <w:rsid w:val="2F2348BD"/>
    <w:rsid w:val="2F57478F"/>
    <w:rsid w:val="2F6F1AD9"/>
    <w:rsid w:val="2F831DB2"/>
    <w:rsid w:val="2F943FCB"/>
    <w:rsid w:val="2FD06C0B"/>
    <w:rsid w:val="30381B81"/>
    <w:rsid w:val="30A44277"/>
    <w:rsid w:val="30B15F03"/>
    <w:rsid w:val="30B30136"/>
    <w:rsid w:val="30CD7D7B"/>
    <w:rsid w:val="310B1BDB"/>
    <w:rsid w:val="31CA4358"/>
    <w:rsid w:val="31D30AC7"/>
    <w:rsid w:val="31FA7479"/>
    <w:rsid w:val="32050A97"/>
    <w:rsid w:val="32284BF5"/>
    <w:rsid w:val="32371C3A"/>
    <w:rsid w:val="324E4259"/>
    <w:rsid w:val="32A510F7"/>
    <w:rsid w:val="32DA1DD4"/>
    <w:rsid w:val="33127B8D"/>
    <w:rsid w:val="33323C73"/>
    <w:rsid w:val="3361798A"/>
    <w:rsid w:val="33861085"/>
    <w:rsid w:val="33CA5BAD"/>
    <w:rsid w:val="33F1420C"/>
    <w:rsid w:val="34311909"/>
    <w:rsid w:val="34477E1A"/>
    <w:rsid w:val="34533777"/>
    <w:rsid w:val="34B44507"/>
    <w:rsid w:val="35687566"/>
    <w:rsid w:val="35B15F88"/>
    <w:rsid w:val="35D501BC"/>
    <w:rsid w:val="35E87A5C"/>
    <w:rsid w:val="3608331B"/>
    <w:rsid w:val="36382C0F"/>
    <w:rsid w:val="36834056"/>
    <w:rsid w:val="369E4A52"/>
    <w:rsid w:val="36A73740"/>
    <w:rsid w:val="36C3312C"/>
    <w:rsid w:val="36EC0B56"/>
    <w:rsid w:val="37174BEB"/>
    <w:rsid w:val="37542B62"/>
    <w:rsid w:val="375A306E"/>
    <w:rsid w:val="379575C2"/>
    <w:rsid w:val="37D83F93"/>
    <w:rsid w:val="382D2437"/>
    <w:rsid w:val="38442273"/>
    <w:rsid w:val="384E006D"/>
    <w:rsid w:val="385D0EF3"/>
    <w:rsid w:val="387D36CA"/>
    <w:rsid w:val="389536A9"/>
    <w:rsid w:val="38BF4D66"/>
    <w:rsid w:val="38C010B0"/>
    <w:rsid w:val="38DE382B"/>
    <w:rsid w:val="38E86458"/>
    <w:rsid w:val="38EB2B69"/>
    <w:rsid w:val="391C67AE"/>
    <w:rsid w:val="39486CC3"/>
    <w:rsid w:val="39A3534F"/>
    <w:rsid w:val="39A54A5C"/>
    <w:rsid w:val="39D65068"/>
    <w:rsid w:val="3AA25DEC"/>
    <w:rsid w:val="3AC648F5"/>
    <w:rsid w:val="3B0368D1"/>
    <w:rsid w:val="3B30241A"/>
    <w:rsid w:val="3B5B756F"/>
    <w:rsid w:val="3B7C1435"/>
    <w:rsid w:val="3B870893"/>
    <w:rsid w:val="3BA13299"/>
    <w:rsid w:val="3C4F6F1A"/>
    <w:rsid w:val="3D2700E2"/>
    <w:rsid w:val="3D2F290C"/>
    <w:rsid w:val="3D3375F0"/>
    <w:rsid w:val="3D4C1E7B"/>
    <w:rsid w:val="3D6E2990"/>
    <w:rsid w:val="3D79508E"/>
    <w:rsid w:val="3DC21444"/>
    <w:rsid w:val="3DD60FEB"/>
    <w:rsid w:val="3E263CAA"/>
    <w:rsid w:val="3E491747"/>
    <w:rsid w:val="3E6B192F"/>
    <w:rsid w:val="3EA55BAC"/>
    <w:rsid w:val="3EEF12C4"/>
    <w:rsid w:val="3F150346"/>
    <w:rsid w:val="3F19442F"/>
    <w:rsid w:val="3F4757B8"/>
    <w:rsid w:val="3F4A029A"/>
    <w:rsid w:val="3F4E528D"/>
    <w:rsid w:val="3F591E5E"/>
    <w:rsid w:val="3F5A6C6F"/>
    <w:rsid w:val="3F7A393A"/>
    <w:rsid w:val="3F9F551C"/>
    <w:rsid w:val="3FC45529"/>
    <w:rsid w:val="3FE1690B"/>
    <w:rsid w:val="40113C23"/>
    <w:rsid w:val="40351638"/>
    <w:rsid w:val="403D2ACF"/>
    <w:rsid w:val="403F2E01"/>
    <w:rsid w:val="404A2E64"/>
    <w:rsid w:val="40AB0EC9"/>
    <w:rsid w:val="40C2612C"/>
    <w:rsid w:val="40E52488"/>
    <w:rsid w:val="41007A8F"/>
    <w:rsid w:val="415869FC"/>
    <w:rsid w:val="41670862"/>
    <w:rsid w:val="41AB14E8"/>
    <w:rsid w:val="41AC0B4D"/>
    <w:rsid w:val="41D4500D"/>
    <w:rsid w:val="41D67141"/>
    <w:rsid w:val="41DD2651"/>
    <w:rsid w:val="41F534A6"/>
    <w:rsid w:val="41F5463E"/>
    <w:rsid w:val="42030507"/>
    <w:rsid w:val="420A020E"/>
    <w:rsid w:val="420A1906"/>
    <w:rsid w:val="423F7EC6"/>
    <w:rsid w:val="42720834"/>
    <w:rsid w:val="428345E9"/>
    <w:rsid w:val="429D5EC0"/>
    <w:rsid w:val="42A40896"/>
    <w:rsid w:val="42A86289"/>
    <w:rsid w:val="42BD50C4"/>
    <w:rsid w:val="42D9640E"/>
    <w:rsid w:val="433E3844"/>
    <w:rsid w:val="437344B8"/>
    <w:rsid w:val="437470EA"/>
    <w:rsid w:val="437C12A7"/>
    <w:rsid w:val="43F643C8"/>
    <w:rsid w:val="43F81C45"/>
    <w:rsid w:val="441F4671"/>
    <w:rsid w:val="444565A3"/>
    <w:rsid w:val="447A6AFE"/>
    <w:rsid w:val="44B9673B"/>
    <w:rsid w:val="45AC0F39"/>
    <w:rsid w:val="461B60BF"/>
    <w:rsid w:val="46C96141"/>
    <w:rsid w:val="46D06FAA"/>
    <w:rsid w:val="475461C4"/>
    <w:rsid w:val="477A0BC3"/>
    <w:rsid w:val="47D41743"/>
    <w:rsid w:val="47D63DB2"/>
    <w:rsid w:val="47F3755A"/>
    <w:rsid w:val="482B71EF"/>
    <w:rsid w:val="48403BBB"/>
    <w:rsid w:val="48447281"/>
    <w:rsid w:val="487D04F4"/>
    <w:rsid w:val="48843697"/>
    <w:rsid w:val="48912668"/>
    <w:rsid w:val="48A31EA1"/>
    <w:rsid w:val="48D90D59"/>
    <w:rsid w:val="48E11FE9"/>
    <w:rsid w:val="48FA020D"/>
    <w:rsid w:val="4910333B"/>
    <w:rsid w:val="4925564B"/>
    <w:rsid w:val="492C6FBB"/>
    <w:rsid w:val="499D1F70"/>
    <w:rsid w:val="4A1025A8"/>
    <w:rsid w:val="4A832C17"/>
    <w:rsid w:val="4A9100D0"/>
    <w:rsid w:val="4AC26B09"/>
    <w:rsid w:val="4AD056CA"/>
    <w:rsid w:val="4AD41B9B"/>
    <w:rsid w:val="4AED1C9D"/>
    <w:rsid w:val="4B597B89"/>
    <w:rsid w:val="4BB44415"/>
    <w:rsid w:val="4BE8259F"/>
    <w:rsid w:val="4C025EBB"/>
    <w:rsid w:val="4C1B5016"/>
    <w:rsid w:val="4C2D08FA"/>
    <w:rsid w:val="4C4E289A"/>
    <w:rsid w:val="4CC56D84"/>
    <w:rsid w:val="4CDA19A5"/>
    <w:rsid w:val="4D5A2AE1"/>
    <w:rsid w:val="4DBE5CAD"/>
    <w:rsid w:val="4DD75684"/>
    <w:rsid w:val="4E0D2518"/>
    <w:rsid w:val="4E1557C5"/>
    <w:rsid w:val="4E231003"/>
    <w:rsid w:val="4E3873B7"/>
    <w:rsid w:val="4EF70D4B"/>
    <w:rsid w:val="4F2E0C11"/>
    <w:rsid w:val="4F79418A"/>
    <w:rsid w:val="50472E90"/>
    <w:rsid w:val="50A2078E"/>
    <w:rsid w:val="50B9275C"/>
    <w:rsid w:val="50C55866"/>
    <w:rsid w:val="50F72CC9"/>
    <w:rsid w:val="50FE286B"/>
    <w:rsid w:val="514069D9"/>
    <w:rsid w:val="51932220"/>
    <w:rsid w:val="51BC0756"/>
    <w:rsid w:val="51D276BD"/>
    <w:rsid w:val="51D77CAA"/>
    <w:rsid w:val="52173BDE"/>
    <w:rsid w:val="522135A2"/>
    <w:rsid w:val="5228244C"/>
    <w:rsid w:val="524A70C6"/>
    <w:rsid w:val="526D5211"/>
    <w:rsid w:val="527B2E68"/>
    <w:rsid w:val="529620AE"/>
    <w:rsid w:val="52A65CF9"/>
    <w:rsid w:val="52C7180D"/>
    <w:rsid w:val="52EB291F"/>
    <w:rsid w:val="52ED493F"/>
    <w:rsid w:val="52EF4E28"/>
    <w:rsid w:val="52F54559"/>
    <w:rsid w:val="52F55822"/>
    <w:rsid w:val="531D3103"/>
    <w:rsid w:val="531F0FF7"/>
    <w:rsid w:val="534E1882"/>
    <w:rsid w:val="53A83AF6"/>
    <w:rsid w:val="53B56AAB"/>
    <w:rsid w:val="53E03D6D"/>
    <w:rsid w:val="53E144A4"/>
    <w:rsid w:val="54333CD5"/>
    <w:rsid w:val="546107D9"/>
    <w:rsid w:val="546E506B"/>
    <w:rsid w:val="549E2395"/>
    <w:rsid w:val="55297C80"/>
    <w:rsid w:val="5531155E"/>
    <w:rsid w:val="559710A2"/>
    <w:rsid w:val="565C7750"/>
    <w:rsid w:val="56644F18"/>
    <w:rsid w:val="56A12956"/>
    <w:rsid w:val="56C54297"/>
    <w:rsid w:val="56DB047F"/>
    <w:rsid w:val="56FE5BF2"/>
    <w:rsid w:val="56FF2E93"/>
    <w:rsid w:val="57100988"/>
    <w:rsid w:val="576D5122"/>
    <w:rsid w:val="58243E21"/>
    <w:rsid w:val="58506377"/>
    <w:rsid w:val="586259DC"/>
    <w:rsid w:val="58625BCC"/>
    <w:rsid w:val="58627B7D"/>
    <w:rsid w:val="58AD704A"/>
    <w:rsid w:val="58B574EB"/>
    <w:rsid w:val="58CE04C7"/>
    <w:rsid w:val="58EA1556"/>
    <w:rsid w:val="58FC1D80"/>
    <w:rsid w:val="593509FB"/>
    <w:rsid w:val="59893E96"/>
    <w:rsid w:val="599D432B"/>
    <w:rsid w:val="59E56370"/>
    <w:rsid w:val="5A12625C"/>
    <w:rsid w:val="5AC67A4D"/>
    <w:rsid w:val="5B1E275D"/>
    <w:rsid w:val="5B3E21DC"/>
    <w:rsid w:val="5B4A5024"/>
    <w:rsid w:val="5BBD57F6"/>
    <w:rsid w:val="5BC414F3"/>
    <w:rsid w:val="5C2D4F60"/>
    <w:rsid w:val="5C351FFC"/>
    <w:rsid w:val="5C953453"/>
    <w:rsid w:val="5CAE15E3"/>
    <w:rsid w:val="5CB84A88"/>
    <w:rsid w:val="5CDA4186"/>
    <w:rsid w:val="5D290C69"/>
    <w:rsid w:val="5DEE479F"/>
    <w:rsid w:val="5E2377EC"/>
    <w:rsid w:val="5E254884"/>
    <w:rsid w:val="5E36741C"/>
    <w:rsid w:val="5E407DA6"/>
    <w:rsid w:val="5EED0027"/>
    <w:rsid w:val="5F1A373D"/>
    <w:rsid w:val="5F3F2DAC"/>
    <w:rsid w:val="5F4829DC"/>
    <w:rsid w:val="5F714A03"/>
    <w:rsid w:val="5F725BF8"/>
    <w:rsid w:val="5F8301BD"/>
    <w:rsid w:val="5FB15C3A"/>
    <w:rsid w:val="5FDE5D3B"/>
    <w:rsid w:val="5FDF26F7"/>
    <w:rsid w:val="5FEC0FE5"/>
    <w:rsid w:val="6022194E"/>
    <w:rsid w:val="60390096"/>
    <w:rsid w:val="60570E4A"/>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6E5E05"/>
    <w:rsid w:val="648C045C"/>
    <w:rsid w:val="64A323C6"/>
    <w:rsid w:val="64A83BDE"/>
    <w:rsid w:val="6567664A"/>
    <w:rsid w:val="656A40F1"/>
    <w:rsid w:val="657A7C6A"/>
    <w:rsid w:val="658C5E23"/>
    <w:rsid w:val="65F10123"/>
    <w:rsid w:val="65F9363E"/>
    <w:rsid w:val="66287D10"/>
    <w:rsid w:val="66747376"/>
    <w:rsid w:val="667E25AF"/>
    <w:rsid w:val="66815672"/>
    <w:rsid w:val="67042ACB"/>
    <w:rsid w:val="67152E14"/>
    <w:rsid w:val="673941B8"/>
    <w:rsid w:val="67770DF7"/>
    <w:rsid w:val="679C27B9"/>
    <w:rsid w:val="67C21399"/>
    <w:rsid w:val="67CB3049"/>
    <w:rsid w:val="67FF2A16"/>
    <w:rsid w:val="681F70B3"/>
    <w:rsid w:val="682465CF"/>
    <w:rsid w:val="68EA74FF"/>
    <w:rsid w:val="690814B0"/>
    <w:rsid w:val="691727A3"/>
    <w:rsid w:val="694638B9"/>
    <w:rsid w:val="6972525B"/>
    <w:rsid w:val="69C211FB"/>
    <w:rsid w:val="69FC5E8B"/>
    <w:rsid w:val="6A16113C"/>
    <w:rsid w:val="6A777B3A"/>
    <w:rsid w:val="6AD14E1A"/>
    <w:rsid w:val="6AE1793A"/>
    <w:rsid w:val="6B056872"/>
    <w:rsid w:val="6B1765A5"/>
    <w:rsid w:val="6B217424"/>
    <w:rsid w:val="6B28360F"/>
    <w:rsid w:val="6B9F4D55"/>
    <w:rsid w:val="6BAA3DD9"/>
    <w:rsid w:val="6C172D01"/>
    <w:rsid w:val="6C180827"/>
    <w:rsid w:val="6C5B0433"/>
    <w:rsid w:val="6CC21278"/>
    <w:rsid w:val="6CC2767B"/>
    <w:rsid w:val="6CEE14EE"/>
    <w:rsid w:val="6D342244"/>
    <w:rsid w:val="6DAB4CCB"/>
    <w:rsid w:val="6DC70D5C"/>
    <w:rsid w:val="6DDA24A1"/>
    <w:rsid w:val="6DE53C17"/>
    <w:rsid w:val="6DFC3BBF"/>
    <w:rsid w:val="6E0E1C83"/>
    <w:rsid w:val="6E250FD9"/>
    <w:rsid w:val="6E421966"/>
    <w:rsid w:val="6E45126B"/>
    <w:rsid w:val="6EA047F7"/>
    <w:rsid w:val="6EFB5292"/>
    <w:rsid w:val="6F062BB9"/>
    <w:rsid w:val="6F185329"/>
    <w:rsid w:val="6F213E8F"/>
    <w:rsid w:val="70783234"/>
    <w:rsid w:val="7079210E"/>
    <w:rsid w:val="70E64A50"/>
    <w:rsid w:val="710A408D"/>
    <w:rsid w:val="71231A63"/>
    <w:rsid w:val="714B6E37"/>
    <w:rsid w:val="71C72BEE"/>
    <w:rsid w:val="72AA2579"/>
    <w:rsid w:val="72AC1CC9"/>
    <w:rsid w:val="73614D85"/>
    <w:rsid w:val="7363682B"/>
    <w:rsid w:val="7363763C"/>
    <w:rsid w:val="739465A0"/>
    <w:rsid w:val="73A82490"/>
    <w:rsid w:val="73AA3664"/>
    <w:rsid w:val="73B34AD5"/>
    <w:rsid w:val="73C14D7F"/>
    <w:rsid w:val="73D42B6E"/>
    <w:rsid w:val="743B3E3F"/>
    <w:rsid w:val="74655E47"/>
    <w:rsid w:val="746A1E3C"/>
    <w:rsid w:val="74CE1079"/>
    <w:rsid w:val="74E41D61"/>
    <w:rsid w:val="75F575B2"/>
    <w:rsid w:val="7654465A"/>
    <w:rsid w:val="765A00C6"/>
    <w:rsid w:val="76994BBA"/>
    <w:rsid w:val="76995E63"/>
    <w:rsid w:val="772335FF"/>
    <w:rsid w:val="7733287E"/>
    <w:rsid w:val="77452BA0"/>
    <w:rsid w:val="774923FD"/>
    <w:rsid w:val="775E0C1F"/>
    <w:rsid w:val="777E28EC"/>
    <w:rsid w:val="77B52272"/>
    <w:rsid w:val="78082D26"/>
    <w:rsid w:val="78120C80"/>
    <w:rsid w:val="781959A6"/>
    <w:rsid w:val="783A1618"/>
    <w:rsid w:val="788222E3"/>
    <w:rsid w:val="7908485F"/>
    <w:rsid w:val="7936053E"/>
    <w:rsid w:val="793F0B2C"/>
    <w:rsid w:val="7970626D"/>
    <w:rsid w:val="797818E8"/>
    <w:rsid w:val="797D07AB"/>
    <w:rsid w:val="79AC25AE"/>
    <w:rsid w:val="7A0263EF"/>
    <w:rsid w:val="7AAC0A0E"/>
    <w:rsid w:val="7AF0301F"/>
    <w:rsid w:val="7B237CCD"/>
    <w:rsid w:val="7B306E47"/>
    <w:rsid w:val="7B8C6B3B"/>
    <w:rsid w:val="7BB717C3"/>
    <w:rsid w:val="7BD77DB7"/>
    <w:rsid w:val="7C2650BD"/>
    <w:rsid w:val="7C3F595C"/>
    <w:rsid w:val="7C507B69"/>
    <w:rsid w:val="7C683BAE"/>
    <w:rsid w:val="7C885555"/>
    <w:rsid w:val="7CBD0742"/>
    <w:rsid w:val="7CC601EC"/>
    <w:rsid w:val="7D162D31"/>
    <w:rsid w:val="7D7D55A3"/>
    <w:rsid w:val="7D9A028A"/>
    <w:rsid w:val="7DE81FDD"/>
    <w:rsid w:val="7E3C60AD"/>
    <w:rsid w:val="7E4A776E"/>
    <w:rsid w:val="7EC565EC"/>
    <w:rsid w:val="7EEF5417"/>
    <w:rsid w:val="7F0277B9"/>
    <w:rsid w:val="7F0D3AEF"/>
    <w:rsid w:val="7F435763"/>
    <w:rsid w:val="7F597673"/>
    <w:rsid w:val="7F787175"/>
    <w:rsid w:val="7F932A90"/>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39</Pages>
  <Words>15549</Words>
  <Characters>16183</Characters>
  <Lines>182</Lines>
  <Paragraphs>51</Paragraphs>
  <TotalTime>125</TotalTime>
  <ScaleCrop>false</ScaleCrop>
  <LinksUpToDate>false</LinksUpToDate>
  <CharactersWithSpaces>17478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2026-04-08T06:03:35Z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