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2026FW040</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共享轮椅租赁服务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6921"/>
      <w:bookmarkStart w:id="2" w:name="_Toc485108766"/>
      <w:bookmarkStart w:id="3" w:name="_Toc25875"/>
      <w:bookmarkStart w:id="4" w:name="_Toc12789052"/>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共享轮椅租赁服务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共享轮椅租赁服务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服务期限：3年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32CE6E0E">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医疗器械经营许可证（复印件加盖公章）；</w:t>
      </w:r>
    </w:p>
    <w:p w14:paraId="30C0D81F">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参选供应商应提供同类型</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重庆区域</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服务合同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个（需提供合同复印件，并加盖公章）；</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轮椅医疗器械注册证</w:t>
      </w:r>
      <w:r>
        <w:rPr>
          <w:rFonts w:hint="default" w:ascii="宋体" w:hAnsi="宋体" w:eastAsia="宋体" w:cs="宋体"/>
          <w:color w:val="000000" w:themeColor="text1"/>
          <w:sz w:val="24"/>
          <w:szCs w:val="24"/>
          <w:shd w:val="clear" w:color="auto" w:fill="auto"/>
          <w:lang w:eastAsia="zh-CN"/>
          <w14:textFill>
            <w14:solidFill>
              <w14:schemeClr w14:val="tx1"/>
            </w14:solidFill>
          </w14:textFill>
        </w:rPr>
        <w:t>（需提供实际投放的轮椅的医疗注册证）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br w:type="textWrapping"/>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w:t>
      </w:r>
      <w:bookmarkStart w:id="191" w:name="_GoBack"/>
      <w:bookmarkEnd w:id="191"/>
      <w:r>
        <w:rPr>
          <w:rFonts w:hint="eastAsia" w:ascii="宋体" w:hAnsi="宋体" w:eastAsia="宋体" w:cs="宋体"/>
          <w:color w:val="000000" w:themeColor="text1"/>
          <w:sz w:val="24"/>
          <w:szCs w:val="24"/>
          <w:shd w:val="clear" w:color="auto" w:fill="auto"/>
          <w14:textFill>
            <w14:solidFill>
              <w14:schemeClr w14:val="tx1"/>
            </w14:solidFill>
          </w14:textFill>
        </w:rPr>
        <w:t>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numPr>
          <w:ilvl w:val="0"/>
          <w:numId w:val="0"/>
        </w:numPr>
        <w:spacing w:line="5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w:t>
      </w:r>
      <w:bookmarkStart w:id="37" w:name="OLE_LINK2"/>
      <w:bookmarkStart w:id="38" w:name="OLE_LINK1"/>
      <w:r>
        <w:rPr>
          <w:rFonts w:hint="eastAsia" w:ascii="宋体" w:hAnsi="宋体" w:eastAsia="宋体" w:cs="宋体"/>
          <w:color w:val="FF0000"/>
          <w:kern w:val="2"/>
          <w:sz w:val="24"/>
          <w:szCs w:val="24"/>
          <w:shd w:val="clear" w:color="auto" w:fill="auto"/>
          <w:lang w:val="en-US" w:eastAsia="zh-CN" w:bidi="ar-SA"/>
        </w:rPr>
        <w:t>参选供应商根据设备用电功率情况向采购方缴纳</w:t>
      </w:r>
      <w:r>
        <w:rPr>
          <w:rFonts w:hint="default" w:ascii="宋体" w:hAnsi="宋体" w:eastAsia="宋体" w:cs="宋体"/>
          <w:color w:val="FF0000"/>
          <w:kern w:val="2"/>
          <w:sz w:val="24"/>
          <w:szCs w:val="24"/>
          <w:shd w:val="clear" w:color="auto" w:fill="auto"/>
          <w:lang w:val="en-US" w:eastAsia="zh-CN" w:bidi="ar-SA"/>
        </w:rPr>
        <w:t>管理</w:t>
      </w:r>
      <w:r>
        <w:rPr>
          <w:rFonts w:hint="eastAsia" w:ascii="宋体" w:hAnsi="宋体" w:eastAsia="宋体" w:cs="宋体"/>
          <w:color w:val="FF0000"/>
          <w:kern w:val="2"/>
          <w:sz w:val="24"/>
          <w:szCs w:val="24"/>
          <w:shd w:val="clear" w:color="auto" w:fill="auto"/>
          <w:lang w:val="en-US" w:eastAsia="zh-CN" w:bidi="ar-SA"/>
        </w:rPr>
        <w:t>费</w:t>
      </w:r>
      <w:bookmarkEnd w:id="37"/>
      <w:bookmarkEnd w:id="38"/>
      <w:r>
        <w:rPr>
          <w:rFonts w:hint="eastAsia" w:ascii="宋体" w:hAnsi="宋体" w:eastAsia="宋体" w:cs="宋体"/>
          <w:color w:val="FF0000"/>
          <w:kern w:val="2"/>
          <w:sz w:val="24"/>
          <w:szCs w:val="24"/>
          <w:shd w:val="clear" w:color="auto" w:fill="auto"/>
          <w:lang w:val="en-US" w:eastAsia="zh-CN" w:bidi="ar-SA"/>
        </w:rPr>
        <w:t>，参选供应商应综合考虑各项因素，因自身原因造成自行承担责任，采购方不再补偿。（报价表见第六章）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11770"/>
      <w:bookmarkStart w:id="70" w:name="_Toc485108784"/>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857C3C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val="en-US" w:eastAsia="zh-CN"/>
        </w:rPr>
        <w:t xml:space="preserve">项目概况：为改善患者就医环境，更好地为广大患者服务，采购方拟在指定区域安装共享轮椅。 </w:t>
      </w:r>
    </w:p>
    <w:p w14:paraId="7D651A0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val="en-US" w:eastAsia="zh-CN"/>
        </w:rPr>
        <w:t>安装地点：重庆医科大学附属永川医院兴龙湖院区、萱花院区、大安院区指定位置（实际投放位置以采购人指定为准）。</w:t>
      </w:r>
    </w:p>
    <w:p w14:paraId="4769E1B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val="en-US" w:eastAsia="zh-CN"/>
        </w:rPr>
        <w:t>①兴龙湖院区、大安院区暂定共享轮椅共安置的数量：20台左右（实际投放数量以采购人指定为准）。</w:t>
      </w:r>
    </w:p>
    <w:p w14:paraId="3AD9FDC1">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②萱花院区（2号楼与3号楼）暂定投放数量12台，（实际投放数量与位置以采购人指定为准）</w:t>
      </w:r>
    </w:p>
    <w:p w14:paraId="15A5681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val="en-US" w:eastAsia="zh-CN"/>
        </w:rPr>
        <w:t>共享轮椅功能要求：</w:t>
      </w:r>
    </w:p>
    <w:p w14:paraId="02A1F81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①具备现金和线上支付方式（微信、支付宝、银联、云闪付等）。</w:t>
      </w:r>
    </w:p>
    <w:p w14:paraId="3B837F2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②参选供应商所提供的轮椅产品必须符合国内医疗器械标准及法律规定，参选供应商应当提供原厂合格证明（提供相应的证明资料并加盖供应商公章）。</w:t>
      </w:r>
    </w:p>
    <w:p w14:paraId="3658939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③具备服务不成功可退款功能，且在30分钟内完成退款，60分钟内工作人员赴现场处理售后事宜。 </w:t>
      </w:r>
    </w:p>
    <w:p w14:paraId="67BAC94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④可提供电子或纸质发票。</w:t>
      </w:r>
    </w:p>
    <w:p w14:paraId="1964067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val="en-US" w:eastAsia="zh-CN"/>
        </w:rPr>
        <w:t>采购人提供场地及电源，参选供应商提供轮椅并全权负责与共享轮椅有关的运营，保证其经营的合法性，负责共享轮椅的日常运营、维护服务，轮椅符合国家安全标准，采购人有权进行抽检监管；采购人有权要求成交供应商检修设备并查看成交供应商的检查记录。</w:t>
      </w:r>
    </w:p>
    <w:p w14:paraId="67F20BB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val="en-US" w:eastAsia="zh-CN"/>
        </w:rPr>
        <w:t>成交供应商开通24小时客服热线，如在使用轮椅过程出现任何客户投诉事宜或设备故障事宜，拔打客服热线，成交供应商保证在60分钟内安排专人处理相关事宜，24小时内解决设备故障。</w:t>
      </w:r>
    </w:p>
    <w:p w14:paraId="3D1B60D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val="en-US" w:eastAsia="zh-CN"/>
        </w:rPr>
        <w:t>成交供应商能按时在指定地点完成设备安装调试，未经许可不得擅自改变安装地点，新增/筛减设备需要经过医院医务科、门诊部同意。</w:t>
      </w:r>
    </w:p>
    <w:p w14:paraId="3E883A3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lang w:val="en-US" w:eastAsia="zh-CN"/>
        </w:rPr>
        <w:t>成交供应商确保所供设备安全、可靠运营，并承担巡检费用、维修维护费用及因设备安全事故导致的一切经济和法律责任。</w:t>
      </w:r>
    </w:p>
    <w:p w14:paraId="535E570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9．</w:t>
      </w:r>
      <w:r>
        <w:rPr>
          <w:rFonts w:hint="eastAsia" w:ascii="宋体" w:hAnsi="宋体" w:eastAsia="宋体" w:cs="宋体"/>
          <w:color w:val="FF0000"/>
          <w:sz w:val="24"/>
          <w:szCs w:val="24"/>
          <w:shd w:val="clear" w:color="auto" w:fill="auto"/>
          <w:lang w:val="en-US" w:eastAsia="zh-CN"/>
        </w:rPr>
        <w:t>成交供应商安排足够数量的管理人员，保证共享轮椅整洁、无故障，如不能保证视为违约。</w:t>
      </w:r>
    </w:p>
    <w:p w14:paraId="3E1600C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10．</w:t>
      </w:r>
      <w:r>
        <w:rPr>
          <w:rFonts w:hint="eastAsia" w:ascii="宋体" w:hAnsi="宋体" w:eastAsia="宋体" w:cs="宋体"/>
          <w:color w:val="FF0000"/>
          <w:sz w:val="24"/>
          <w:szCs w:val="24"/>
          <w:shd w:val="clear" w:color="auto" w:fill="auto"/>
          <w:lang w:val="en-US" w:eastAsia="zh-CN"/>
        </w:rPr>
        <w:t xml:space="preserve">各参选供应商应根据本项目提供共享轮椅服务方案包含但不限于设备功能、操作流程、支付方式、共享轮椅使用方式和收费标准等。 </w:t>
      </w:r>
    </w:p>
    <w:p w14:paraId="2F556BD9">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val="en-US" w:eastAsia="zh-CN"/>
        </w:rPr>
        <w:t>运营方式：自助轮椅能够提供</w:t>
      </w:r>
      <w:r>
        <w:rPr>
          <w:rFonts w:hint="default" w:ascii="宋体" w:hAnsi="宋体" w:eastAsia="宋体" w:cs="宋体"/>
          <w:color w:val="FF0000"/>
          <w:sz w:val="24"/>
          <w:szCs w:val="24"/>
          <w:shd w:val="clear" w:color="auto" w:fill="auto"/>
          <w:lang w:val="en-US" w:eastAsia="zh-CN"/>
        </w:rPr>
        <w:t>至少</w:t>
      </w:r>
      <w:r>
        <w:rPr>
          <w:rFonts w:hint="eastAsia" w:ascii="宋体" w:hAnsi="宋体" w:eastAsia="宋体" w:cs="宋体"/>
          <w:color w:val="FF0000"/>
          <w:sz w:val="24"/>
          <w:szCs w:val="24"/>
          <w:shd w:val="clear" w:color="auto" w:fill="auto"/>
          <w:lang w:val="en-US" w:eastAsia="zh-CN"/>
        </w:rPr>
        <w:t>一小时免费使用时间，超过部分</w:t>
      </w:r>
      <w:r>
        <w:rPr>
          <w:rFonts w:hint="default" w:ascii="宋体" w:hAnsi="宋体" w:eastAsia="宋体" w:cs="宋体"/>
          <w:color w:val="FF0000"/>
          <w:sz w:val="24"/>
          <w:szCs w:val="24"/>
          <w:shd w:val="clear" w:color="auto" w:fill="auto"/>
          <w:lang w:val="en-US" w:eastAsia="zh-CN"/>
        </w:rPr>
        <w:t>每小时收费不得超过3元，上限不得超过40元/24小时。</w:t>
      </w:r>
      <w:r>
        <w:rPr>
          <w:rFonts w:hint="eastAsia" w:ascii="宋体" w:hAnsi="宋体" w:eastAsia="宋体" w:cs="宋体"/>
          <w:color w:val="FF0000"/>
          <w:sz w:val="24"/>
          <w:szCs w:val="24"/>
          <w:shd w:val="clear" w:color="auto" w:fill="auto"/>
          <w:lang w:val="en-US" w:eastAsia="zh-CN"/>
        </w:rPr>
        <w:t>患</w:t>
      </w:r>
      <w:r>
        <w:rPr>
          <w:rFonts w:hint="default" w:ascii="宋体" w:hAnsi="宋体" w:eastAsia="宋体" w:cs="宋体"/>
          <w:color w:val="FF0000"/>
          <w:sz w:val="24"/>
          <w:szCs w:val="24"/>
          <w:shd w:val="clear" w:color="auto" w:fill="auto"/>
          <w:lang w:val="en-US" w:eastAsia="zh-CN"/>
        </w:rPr>
        <w:t>者</w:t>
      </w:r>
      <w:r>
        <w:rPr>
          <w:rFonts w:hint="eastAsia" w:ascii="宋体" w:hAnsi="宋体" w:eastAsia="宋体" w:cs="宋体"/>
          <w:color w:val="FF0000"/>
          <w:sz w:val="24"/>
          <w:szCs w:val="24"/>
          <w:shd w:val="clear" w:color="auto" w:fill="auto"/>
          <w:lang w:val="en-US" w:eastAsia="zh-CN"/>
        </w:rPr>
        <w:t>使用自助轮椅时收取保证金不得超过200元，且必须在患者归还轮椅后24小时内退还保证金，逾期未退还患者保证金，院方有权每次从</w:t>
      </w:r>
      <w:r>
        <w:rPr>
          <w:rFonts w:hint="default" w:ascii="宋体" w:hAnsi="宋体" w:eastAsia="宋体" w:cs="宋体"/>
          <w:color w:val="FF0000"/>
          <w:sz w:val="24"/>
          <w:szCs w:val="24"/>
          <w:shd w:val="clear" w:color="auto" w:fill="auto"/>
          <w:lang w:val="en-US" w:eastAsia="zh-CN"/>
        </w:rPr>
        <w:t>风险金</w:t>
      </w:r>
      <w:r>
        <w:rPr>
          <w:rFonts w:hint="eastAsia" w:ascii="宋体" w:hAnsi="宋体" w:eastAsia="宋体" w:cs="宋体"/>
          <w:color w:val="FF0000"/>
          <w:sz w:val="24"/>
          <w:szCs w:val="24"/>
          <w:shd w:val="clear" w:color="auto" w:fill="auto"/>
          <w:lang w:val="en-US" w:eastAsia="zh-CN"/>
        </w:rPr>
        <w:t>中扣除</w:t>
      </w:r>
      <w:r>
        <w:rPr>
          <w:rFonts w:hint="default"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val="en-US" w:eastAsia="zh-CN"/>
        </w:rPr>
        <w:t>%。</w:t>
      </w:r>
    </w:p>
    <w:p w14:paraId="4E323D2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val="en-US" w:eastAsia="zh-CN"/>
        </w:rPr>
        <w:t>后台管理。能够给采购人提供自助轮椅后台登陆查看权限，能够查看各轮椅状态、当天/当月</w:t>
      </w:r>
      <w:r>
        <w:rPr>
          <w:rFonts w:hint="default" w:ascii="宋体" w:hAnsi="宋体" w:eastAsia="宋体" w:cs="宋体"/>
          <w:color w:val="FF0000"/>
          <w:sz w:val="24"/>
          <w:szCs w:val="24"/>
          <w:shd w:val="clear" w:color="auto" w:fill="auto"/>
          <w:lang w:val="en-US" w:eastAsia="zh-CN"/>
        </w:rPr>
        <w:t>数据</w:t>
      </w:r>
      <w:r>
        <w:rPr>
          <w:rFonts w:hint="eastAsia" w:ascii="宋体" w:hAnsi="宋体" w:eastAsia="宋体" w:cs="宋体"/>
          <w:color w:val="FF0000"/>
          <w:sz w:val="24"/>
          <w:szCs w:val="24"/>
          <w:shd w:val="clear" w:color="auto" w:fill="auto"/>
          <w:lang w:val="en-US" w:eastAsia="zh-CN"/>
        </w:rPr>
        <w:t>、</w:t>
      </w:r>
      <w:r>
        <w:rPr>
          <w:rFonts w:hint="default" w:ascii="宋体" w:hAnsi="宋体" w:eastAsia="宋体" w:cs="宋体"/>
          <w:color w:val="FF0000"/>
          <w:sz w:val="24"/>
          <w:szCs w:val="24"/>
          <w:shd w:val="clear" w:color="auto" w:fill="auto"/>
          <w:lang w:val="en-US" w:eastAsia="zh-CN"/>
        </w:rPr>
        <w:t>使用</w:t>
      </w:r>
      <w:r>
        <w:rPr>
          <w:rFonts w:hint="eastAsia" w:ascii="宋体" w:hAnsi="宋体" w:eastAsia="宋体" w:cs="宋体"/>
          <w:color w:val="FF0000"/>
          <w:sz w:val="24"/>
          <w:szCs w:val="24"/>
          <w:shd w:val="clear" w:color="auto" w:fill="auto"/>
          <w:lang w:val="en-US" w:eastAsia="zh-CN"/>
        </w:rPr>
        <w:t>信息。</w:t>
      </w:r>
    </w:p>
    <w:p w14:paraId="5E07406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13．整改。如遇</w:t>
      </w:r>
      <w:r>
        <w:rPr>
          <w:rFonts w:hint="eastAsia" w:ascii="宋体" w:hAnsi="宋体" w:eastAsia="宋体" w:cs="宋体"/>
          <w:color w:val="FF0000"/>
          <w:sz w:val="24"/>
          <w:szCs w:val="24"/>
          <w:shd w:val="clear" w:color="auto" w:fill="auto"/>
          <w:lang w:val="en-US" w:eastAsia="zh-CN"/>
        </w:rPr>
        <w:t>采购人</w:t>
      </w:r>
      <w:r>
        <w:rPr>
          <w:rFonts w:hint="default" w:ascii="宋体" w:hAnsi="宋体" w:eastAsia="宋体" w:cs="宋体"/>
          <w:color w:val="FF0000"/>
          <w:sz w:val="24"/>
          <w:szCs w:val="24"/>
          <w:shd w:val="clear" w:color="auto" w:fill="auto"/>
          <w:lang w:val="en-US" w:eastAsia="zh-CN"/>
        </w:rPr>
        <w:t>需要自助轮椅供应商整改的部分，超一周未整改，</w:t>
      </w:r>
      <w:r>
        <w:rPr>
          <w:rFonts w:hint="eastAsia" w:ascii="宋体" w:hAnsi="宋体" w:eastAsia="宋体" w:cs="宋体"/>
          <w:color w:val="FF0000"/>
          <w:sz w:val="24"/>
          <w:szCs w:val="24"/>
          <w:shd w:val="clear" w:color="auto" w:fill="auto"/>
          <w:lang w:val="en-US" w:eastAsia="zh-CN"/>
        </w:rPr>
        <w:t>采购人</w:t>
      </w:r>
      <w:r>
        <w:rPr>
          <w:rFonts w:hint="default" w:ascii="宋体" w:hAnsi="宋体" w:eastAsia="宋体" w:cs="宋体"/>
          <w:color w:val="FF0000"/>
          <w:sz w:val="24"/>
          <w:szCs w:val="24"/>
          <w:shd w:val="clear" w:color="auto" w:fill="auto"/>
          <w:lang w:val="en-US" w:eastAsia="zh-CN"/>
        </w:rPr>
        <w:t>有权每次从风险金中扣除3%。</w:t>
      </w:r>
    </w:p>
    <w:p w14:paraId="5BBCF0F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CD389A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服务期限：3年。</w:t>
      </w:r>
    </w:p>
    <w:p w14:paraId="2E25A620">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2.报价方式：</w:t>
      </w:r>
      <w:r>
        <w:rPr>
          <w:rFonts w:hint="eastAsia" w:ascii="宋体" w:hAnsi="宋体" w:eastAsia="宋体" w:cs="宋体"/>
          <w:color w:val="FF0000"/>
          <w:kern w:val="2"/>
          <w:sz w:val="24"/>
          <w:szCs w:val="24"/>
          <w:shd w:val="clear" w:color="auto" w:fill="auto"/>
          <w:lang w:val="en-US" w:eastAsia="zh-CN" w:bidi="ar-SA"/>
        </w:rPr>
        <w:t>参选供应商根据设备用电功率情况向采购方缴纳</w:t>
      </w:r>
      <w:r>
        <w:rPr>
          <w:rFonts w:hint="default" w:ascii="宋体" w:hAnsi="宋体" w:eastAsia="宋体" w:cs="宋体"/>
          <w:color w:val="FF0000"/>
          <w:kern w:val="2"/>
          <w:sz w:val="24"/>
          <w:szCs w:val="24"/>
          <w:shd w:val="clear" w:color="auto" w:fill="auto"/>
          <w:lang w:val="en-US" w:eastAsia="zh-CN" w:bidi="ar-SA"/>
        </w:rPr>
        <w:t>管理</w:t>
      </w:r>
      <w:r>
        <w:rPr>
          <w:rFonts w:hint="eastAsia" w:ascii="宋体" w:hAnsi="宋体" w:eastAsia="宋体" w:cs="宋体"/>
          <w:color w:val="FF0000"/>
          <w:kern w:val="2"/>
          <w:sz w:val="24"/>
          <w:szCs w:val="24"/>
          <w:shd w:val="clear" w:color="auto" w:fill="auto"/>
          <w:lang w:val="en-US" w:eastAsia="zh-CN" w:bidi="ar-SA"/>
        </w:rPr>
        <w:t>费，参选供应商应综合考虑各项因素，因自身原因造成自行承担责任，采购方不再补偿</w:t>
      </w:r>
    </w:p>
    <w:p w14:paraId="36F9727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lang w:val="en-US" w:eastAsia="zh-CN"/>
        </w:rPr>
        <w:t>．付款方式：</w:t>
      </w:r>
      <w:r>
        <w:rPr>
          <w:rFonts w:hint="eastAsia" w:ascii="宋体" w:hAnsi="宋体" w:eastAsia="宋体" w:cs="宋体"/>
          <w:color w:val="FF0000"/>
          <w:sz w:val="24"/>
          <w:szCs w:val="24"/>
          <w:shd w:val="clear" w:color="auto" w:fill="auto"/>
          <w:lang w:val="en-US" w:eastAsia="zh-CN"/>
        </w:rPr>
        <w:t>服务方据实提前预付预付</w:t>
      </w:r>
      <w:r>
        <w:rPr>
          <w:rFonts w:hint="default" w:ascii="宋体" w:hAnsi="宋体" w:eastAsia="宋体" w:cs="宋体"/>
          <w:color w:val="FF0000"/>
          <w:sz w:val="24"/>
          <w:szCs w:val="24"/>
          <w:shd w:val="clear" w:color="auto" w:fill="auto"/>
          <w:lang w:val="en-US" w:eastAsia="zh-CN"/>
        </w:rPr>
        <w:t>半年管理费，</w:t>
      </w:r>
      <w:r>
        <w:rPr>
          <w:rFonts w:hint="eastAsia" w:ascii="宋体" w:hAnsi="宋体" w:eastAsia="宋体" w:cs="宋体"/>
          <w:color w:val="FF0000"/>
          <w:sz w:val="24"/>
          <w:szCs w:val="24"/>
          <w:shd w:val="clear" w:color="auto" w:fill="auto"/>
          <w:lang w:val="en-US" w:eastAsia="zh-CN"/>
        </w:rPr>
        <w:t>于</w:t>
      </w:r>
      <w:r>
        <w:rPr>
          <w:rFonts w:hint="default" w:ascii="宋体" w:hAnsi="宋体" w:eastAsia="宋体" w:cs="宋体"/>
          <w:color w:val="FF0000"/>
          <w:sz w:val="24"/>
          <w:szCs w:val="24"/>
          <w:shd w:val="clear" w:color="auto" w:fill="auto"/>
          <w:lang w:val="en-US" w:eastAsia="zh-CN"/>
        </w:rPr>
        <w:t>每</w:t>
      </w:r>
      <w:r>
        <w:rPr>
          <w:rFonts w:hint="eastAsia" w:ascii="宋体" w:hAnsi="宋体" w:eastAsia="宋体" w:cs="宋体"/>
          <w:color w:val="FF0000"/>
          <w:sz w:val="24"/>
          <w:szCs w:val="24"/>
          <w:shd w:val="clear" w:color="auto" w:fill="auto"/>
          <w:lang w:val="en-US" w:eastAsia="zh-CN"/>
        </w:rPr>
        <w:t>年</w:t>
      </w:r>
      <w:r>
        <w:rPr>
          <w:rFonts w:hint="default"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val="en-US" w:eastAsia="zh-CN"/>
        </w:rPr>
        <w:t>月底前</w:t>
      </w:r>
      <w:r>
        <w:rPr>
          <w:rFonts w:hint="default" w:ascii="宋体" w:hAnsi="宋体" w:eastAsia="宋体" w:cs="宋体"/>
          <w:color w:val="FF0000"/>
          <w:sz w:val="24"/>
          <w:szCs w:val="24"/>
          <w:shd w:val="clear" w:color="auto" w:fill="auto"/>
          <w:lang w:val="en-US" w:eastAsia="zh-CN"/>
        </w:rPr>
        <w:t>和7月底前</w:t>
      </w:r>
      <w:r>
        <w:rPr>
          <w:rFonts w:hint="eastAsia" w:ascii="宋体" w:hAnsi="宋体" w:eastAsia="宋体" w:cs="宋体"/>
          <w:color w:val="FF0000"/>
          <w:sz w:val="24"/>
          <w:szCs w:val="24"/>
          <w:shd w:val="clear" w:color="auto" w:fill="auto"/>
          <w:lang w:val="en-US" w:eastAsia="zh-CN"/>
        </w:rPr>
        <w:t>足额缴纳并提供银行业务回单，未足额缴纳或未缴纳，我院有权扣除全部</w:t>
      </w:r>
      <w:r>
        <w:rPr>
          <w:rFonts w:hint="default" w:ascii="宋体" w:hAnsi="宋体" w:eastAsia="宋体" w:cs="宋体"/>
          <w:color w:val="FF0000"/>
          <w:sz w:val="24"/>
          <w:szCs w:val="24"/>
          <w:shd w:val="clear" w:color="auto" w:fill="auto"/>
          <w:lang w:val="en-US" w:eastAsia="zh-CN"/>
        </w:rPr>
        <w:t>风险金</w:t>
      </w:r>
      <w:r>
        <w:rPr>
          <w:rFonts w:hint="eastAsia" w:ascii="宋体" w:hAnsi="宋体" w:eastAsia="宋体" w:cs="宋体"/>
          <w:color w:val="FF0000"/>
          <w:sz w:val="24"/>
          <w:szCs w:val="24"/>
          <w:shd w:val="clear" w:color="auto" w:fill="auto"/>
          <w:lang w:val="en-US" w:eastAsia="zh-CN"/>
        </w:rPr>
        <w:t>、解除合同并拆走轮椅等设备自行处理。</w:t>
      </w:r>
    </w:p>
    <w:p w14:paraId="62183823">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w:t>
      </w:r>
      <w:r>
        <w:rPr>
          <w:rFonts w:hint="default" w:ascii="宋体" w:hAnsi="宋体" w:eastAsia="宋体" w:cs="宋体"/>
          <w:color w:val="FF0000"/>
          <w:sz w:val="24"/>
          <w:szCs w:val="24"/>
          <w:shd w:val="clear" w:color="auto" w:fill="auto"/>
          <w:lang w:val="en-US" w:eastAsia="zh-CN"/>
        </w:rPr>
        <w:t>风险</w:t>
      </w:r>
      <w:r>
        <w:rPr>
          <w:rFonts w:hint="eastAsia" w:ascii="宋体" w:hAnsi="宋体" w:eastAsia="宋体" w:cs="宋体"/>
          <w:color w:val="FF0000"/>
          <w:sz w:val="24"/>
          <w:szCs w:val="24"/>
          <w:shd w:val="clear" w:color="auto" w:fill="auto"/>
          <w:lang w:val="en-US" w:eastAsia="zh-CN"/>
        </w:rPr>
        <w:t>金管理：</w:t>
      </w:r>
      <w:r>
        <w:rPr>
          <w:rFonts w:hint="default" w:ascii="宋体" w:hAnsi="宋体" w:eastAsia="宋体" w:cs="宋体"/>
          <w:color w:val="FF0000"/>
          <w:sz w:val="24"/>
          <w:szCs w:val="24"/>
          <w:shd w:val="clear" w:color="auto" w:fill="auto"/>
          <w:lang w:val="en-US" w:eastAsia="zh-CN"/>
        </w:rPr>
        <w:t>便于医院管理第三方，</w:t>
      </w:r>
      <w:r>
        <w:rPr>
          <w:rFonts w:hint="eastAsia" w:ascii="宋体" w:hAnsi="宋体" w:eastAsia="宋体" w:cs="宋体"/>
          <w:color w:val="FF0000"/>
          <w:sz w:val="24"/>
          <w:szCs w:val="24"/>
          <w:shd w:val="clear" w:color="auto" w:fill="auto"/>
          <w:lang w:val="en-US" w:eastAsia="zh-CN"/>
        </w:rPr>
        <w:t>合同签订后一个月内</w:t>
      </w:r>
      <w:r>
        <w:rPr>
          <w:rFonts w:hint="default"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lang w:val="en-US" w:eastAsia="zh-CN"/>
        </w:rPr>
        <w:t>中标单位</w:t>
      </w:r>
      <w:r>
        <w:rPr>
          <w:rFonts w:hint="default" w:ascii="宋体" w:hAnsi="宋体" w:eastAsia="宋体" w:cs="宋体"/>
          <w:color w:val="FF0000"/>
          <w:sz w:val="24"/>
          <w:szCs w:val="24"/>
          <w:shd w:val="clear" w:color="auto" w:fill="auto"/>
          <w:lang w:val="en-US" w:eastAsia="zh-CN"/>
        </w:rPr>
        <w:t>需要</w:t>
      </w:r>
      <w:r>
        <w:rPr>
          <w:rFonts w:hint="eastAsia" w:ascii="宋体" w:hAnsi="宋体" w:eastAsia="宋体" w:cs="宋体"/>
          <w:color w:val="FF0000"/>
          <w:sz w:val="24"/>
          <w:szCs w:val="24"/>
          <w:shd w:val="clear" w:color="auto" w:fill="auto"/>
          <w:lang w:val="en-US" w:eastAsia="zh-CN"/>
        </w:rPr>
        <w:t>提供8000</w:t>
      </w:r>
      <w:r>
        <w:rPr>
          <w:rFonts w:hint="default" w:ascii="宋体" w:hAnsi="宋体" w:eastAsia="宋体" w:cs="宋体"/>
          <w:color w:val="FF0000"/>
          <w:sz w:val="24"/>
          <w:szCs w:val="24"/>
          <w:shd w:val="clear" w:color="auto" w:fill="auto"/>
          <w:lang w:val="en-US" w:eastAsia="zh-CN"/>
        </w:rPr>
        <w:t>元风险金，并于合同到期后退还经以上条款扣除后剩余风险金。</w:t>
      </w:r>
    </w:p>
    <w:p w14:paraId="38F0C9E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5108796"/>
      <w:bookmarkStart w:id="154" w:name="_Toc480979018"/>
      <w:bookmarkStart w:id="155" w:name="_Toc313888360"/>
      <w:bookmarkStart w:id="156" w:name="_Toc342913419"/>
      <w:bookmarkStart w:id="157" w:name="_Toc313008356"/>
      <w:bookmarkStart w:id="158" w:name="_Toc5565"/>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14:paraId="67DD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tcPr>
          <w:p w14:paraId="756C077F">
            <w:pPr>
              <w:pStyle w:val="52"/>
              <w:spacing w:before="0" w:beforeAutospacing="0" w:after="0" w:afterAutospacing="0" w:line="480" w:lineRule="exact"/>
              <w:jc w:val="center"/>
              <w:rPr>
                <w:rFonts w:hint="eastAsia" w:ascii="仿宋" w:hAnsi="仿宋" w:eastAsia="仿宋" w:cs="仿宋"/>
                <w:kern w:val="2"/>
                <w:sz w:val="28"/>
                <w:szCs w:val="28"/>
                <w:vertAlign w:val="baseline"/>
                <w:lang w:eastAsia="zh-CN"/>
              </w:rPr>
            </w:pPr>
            <w:r>
              <w:rPr>
                <w:rFonts w:hint="eastAsia" w:ascii="仿宋" w:hAnsi="仿宋" w:eastAsia="仿宋" w:cs="仿宋"/>
                <w:kern w:val="2"/>
                <w:sz w:val="28"/>
                <w:szCs w:val="28"/>
                <w:vertAlign w:val="baseline"/>
                <w:lang w:eastAsia="zh-CN"/>
              </w:rPr>
              <w:t>项目名称</w:t>
            </w:r>
          </w:p>
        </w:tc>
        <w:tc>
          <w:tcPr>
            <w:tcW w:w="3209" w:type="dxa"/>
          </w:tcPr>
          <w:p w14:paraId="01AD8508">
            <w:pPr>
              <w:pStyle w:val="52"/>
              <w:spacing w:before="0" w:beforeAutospacing="0" w:after="0" w:afterAutospacing="0" w:line="480" w:lineRule="exact"/>
              <w:jc w:val="center"/>
              <w:rPr>
                <w:rFonts w:hint="eastAsia" w:ascii="仿宋" w:hAnsi="仿宋" w:eastAsia="仿宋" w:cs="仿宋"/>
                <w:kern w:val="2"/>
                <w:sz w:val="28"/>
                <w:szCs w:val="28"/>
                <w:vertAlign w:val="baseline"/>
                <w:lang w:eastAsia="zh-CN"/>
              </w:rPr>
            </w:pPr>
            <w:r>
              <w:rPr>
                <w:rFonts w:hint="eastAsia" w:ascii="仿宋" w:hAnsi="仿宋" w:eastAsia="仿宋" w:cs="仿宋"/>
                <w:kern w:val="2"/>
                <w:sz w:val="28"/>
                <w:szCs w:val="28"/>
                <w:vertAlign w:val="baseline"/>
                <w:lang w:eastAsia="zh-CN"/>
              </w:rPr>
              <w:t>价格（元</w:t>
            </w:r>
            <w:r>
              <w:rPr>
                <w:rFonts w:hint="eastAsia" w:ascii="仿宋" w:hAnsi="仿宋" w:eastAsia="仿宋" w:cs="仿宋"/>
                <w:kern w:val="2"/>
                <w:sz w:val="28"/>
                <w:szCs w:val="28"/>
                <w:vertAlign w:val="baseline"/>
                <w:lang w:val="en-US" w:eastAsia="zh-CN"/>
              </w:rPr>
              <w:t>/台/月</w:t>
            </w:r>
            <w:r>
              <w:rPr>
                <w:rFonts w:hint="eastAsia" w:ascii="仿宋" w:hAnsi="仿宋" w:eastAsia="仿宋" w:cs="仿宋"/>
                <w:kern w:val="2"/>
                <w:sz w:val="28"/>
                <w:szCs w:val="28"/>
                <w:vertAlign w:val="baseline"/>
                <w:lang w:eastAsia="zh-CN"/>
              </w:rPr>
              <w:t>）</w:t>
            </w:r>
          </w:p>
        </w:tc>
        <w:tc>
          <w:tcPr>
            <w:tcW w:w="3210" w:type="dxa"/>
          </w:tcPr>
          <w:p w14:paraId="71B598B6">
            <w:pPr>
              <w:pStyle w:val="52"/>
              <w:spacing w:before="0" w:beforeAutospacing="0" w:after="0" w:afterAutospacing="0" w:line="480" w:lineRule="exact"/>
              <w:jc w:val="center"/>
              <w:rPr>
                <w:rFonts w:hint="eastAsia" w:ascii="仿宋" w:hAnsi="仿宋" w:eastAsia="仿宋" w:cs="仿宋"/>
                <w:kern w:val="2"/>
                <w:sz w:val="28"/>
                <w:szCs w:val="28"/>
                <w:vertAlign w:val="baseline"/>
                <w:lang w:eastAsia="zh-CN"/>
              </w:rPr>
            </w:pPr>
            <w:r>
              <w:rPr>
                <w:rFonts w:hint="eastAsia" w:ascii="仿宋" w:hAnsi="仿宋" w:eastAsia="仿宋" w:cs="仿宋"/>
                <w:kern w:val="2"/>
                <w:sz w:val="28"/>
                <w:szCs w:val="28"/>
                <w:vertAlign w:val="baseline"/>
                <w:lang w:eastAsia="zh-CN"/>
              </w:rPr>
              <w:t>备注</w:t>
            </w:r>
          </w:p>
        </w:tc>
      </w:tr>
      <w:tr w14:paraId="1BF5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tcPr>
          <w:p w14:paraId="28DD39F0">
            <w:pPr>
              <w:pStyle w:val="52"/>
              <w:spacing w:before="0" w:beforeAutospacing="0" w:after="0" w:afterAutospacing="0" w:line="480" w:lineRule="exact"/>
              <w:jc w:val="center"/>
              <w:rPr>
                <w:rFonts w:ascii="仿宋" w:hAnsi="仿宋" w:eastAsia="仿宋" w:cs="仿宋"/>
                <w:kern w:val="2"/>
                <w:sz w:val="28"/>
                <w:szCs w:val="28"/>
                <w:vertAlign w:val="baseline"/>
              </w:rPr>
            </w:pPr>
            <w:r>
              <w:rPr>
                <w:rFonts w:hint="eastAsia" w:cs="宋体"/>
                <w:color w:val="000000" w:themeColor="text1"/>
                <w:sz w:val="28"/>
                <w:szCs w:val="28"/>
                <w:shd w:val="clear" w:color="auto" w:fill="auto"/>
                <w:lang w:val="en-US" w:eastAsia="zh-CN"/>
                <w14:textFill>
                  <w14:solidFill>
                    <w14:schemeClr w14:val="tx1"/>
                  </w14:solidFill>
                </w14:textFill>
              </w:rPr>
              <w:t>共享轮椅租赁服务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tc>
        <w:tc>
          <w:tcPr>
            <w:tcW w:w="3209" w:type="dxa"/>
          </w:tcPr>
          <w:p w14:paraId="37C3930C">
            <w:pPr>
              <w:pStyle w:val="52"/>
              <w:spacing w:before="0" w:beforeAutospacing="0" w:after="0" w:afterAutospacing="0" w:line="480" w:lineRule="exact"/>
              <w:jc w:val="center"/>
              <w:rPr>
                <w:rFonts w:ascii="仿宋" w:hAnsi="仿宋" w:eastAsia="仿宋" w:cs="仿宋"/>
                <w:kern w:val="2"/>
                <w:sz w:val="28"/>
                <w:szCs w:val="28"/>
                <w:vertAlign w:val="baseline"/>
              </w:rPr>
            </w:pPr>
          </w:p>
        </w:tc>
        <w:tc>
          <w:tcPr>
            <w:tcW w:w="3210" w:type="dxa"/>
          </w:tcPr>
          <w:p w14:paraId="59572B8D">
            <w:pPr>
              <w:pStyle w:val="52"/>
              <w:spacing w:before="0" w:beforeAutospacing="0" w:after="0" w:afterAutospacing="0" w:line="480" w:lineRule="exact"/>
              <w:jc w:val="center"/>
              <w:rPr>
                <w:rFonts w:ascii="仿宋" w:hAnsi="仿宋" w:eastAsia="仿宋" w:cs="仿宋"/>
                <w:kern w:val="2"/>
                <w:sz w:val="28"/>
                <w:szCs w:val="28"/>
                <w:vertAlign w:val="baseline"/>
              </w:rPr>
            </w:pPr>
          </w:p>
        </w:tc>
      </w:tr>
    </w:tbl>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6CF71AE2">
      <w:pPr>
        <w:rPr>
          <w:rFonts w:hint="eastAsia" w:ascii="宋体" w:hAnsi="宋体" w:eastAsia="宋体" w:cs="宋体"/>
          <w:b/>
          <w:color w:val="000000" w:themeColor="text1"/>
          <w:shd w:val="clear" w:color="auto" w:fill="auto"/>
          <w14:textFill>
            <w14:solidFill>
              <w14:schemeClr w14:val="tx1"/>
            </w14:solidFill>
          </w14:textFill>
        </w:rPr>
      </w:pPr>
    </w:p>
    <w:p w14:paraId="74BD02E7">
      <w:pPr>
        <w:rPr>
          <w:rFonts w:hint="eastAsia" w:ascii="宋体" w:hAnsi="宋体" w:eastAsia="宋体" w:cs="宋体"/>
          <w:b/>
          <w:color w:val="000000" w:themeColor="text1"/>
          <w:shd w:val="clear" w:color="auto" w:fill="auto"/>
          <w14:textFill>
            <w14:solidFill>
              <w14:schemeClr w14:val="tx1"/>
            </w14:solidFill>
          </w14:textFill>
        </w:rPr>
      </w:pPr>
    </w:p>
    <w:p w14:paraId="05FAD7B8">
      <w:pPr>
        <w:rPr>
          <w:rFonts w:hint="eastAsia" w:ascii="宋体" w:hAnsi="宋体" w:eastAsia="宋体" w:cs="宋体"/>
          <w:b/>
          <w:color w:val="000000" w:themeColor="text1"/>
          <w:shd w:val="clear" w:color="auto" w:fill="auto"/>
          <w14:textFill>
            <w14:solidFill>
              <w14:schemeClr w14:val="tx1"/>
            </w14:solidFill>
          </w14:textFill>
        </w:rPr>
      </w:pPr>
    </w:p>
    <w:p w14:paraId="5CD1CC69">
      <w:pPr>
        <w:rPr>
          <w:rFonts w:hint="eastAsia" w:ascii="宋体" w:hAnsi="宋体" w:eastAsia="宋体" w:cs="宋体"/>
          <w:b/>
          <w:color w:val="000000" w:themeColor="text1"/>
          <w:shd w:val="clear" w:color="auto" w:fill="auto"/>
          <w14:textFill>
            <w14:solidFill>
              <w14:schemeClr w14:val="tx1"/>
            </w14:solidFill>
          </w14:textFill>
        </w:rPr>
      </w:pPr>
    </w:p>
    <w:p w14:paraId="4B9B24F9">
      <w:pPr>
        <w:rPr>
          <w:rFonts w:hint="eastAsia" w:ascii="宋体" w:hAnsi="宋体" w:eastAsia="宋体" w:cs="宋体"/>
          <w:b/>
          <w:color w:val="000000" w:themeColor="text1"/>
          <w:shd w:val="clear" w:color="auto" w:fill="auto"/>
          <w14:textFill>
            <w14:solidFill>
              <w14:schemeClr w14:val="tx1"/>
            </w14:solidFill>
          </w14:textFill>
        </w:rPr>
      </w:pPr>
    </w:p>
    <w:p w14:paraId="10109E69">
      <w:pPr>
        <w:rPr>
          <w:rFonts w:hint="eastAsia" w:ascii="宋体" w:hAnsi="宋体" w:eastAsia="宋体" w:cs="宋体"/>
          <w:b/>
          <w:color w:val="000000" w:themeColor="text1"/>
          <w:shd w:val="clear" w:color="auto" w:fill="auto"/>
          <w14:textFill>
            <w14:solidFill>
              <w14:schemeClr w14:val="tx1"/>
            </w14:solidFill>
          </w14:textFill>
        </w:rPr>
      </w:pPr>
    </w:p>
    <w:p w14:paraId="7DAEE48F">
      <w:pPr>
        <w:rPr>
          <w:rFonts w:hint="eastAsia" w:ascii="宋体" w:hAnsi="宋体" w:eastAsia="宋体" w:cs="宋体"/>
          <w:b/>
          <w:color w:val="000000" w:themeColor="text1"/>
          <w:shd w:val="clear" w:color="auto" w:fill="auto"/>
          <w14:textFill>
            <w14:solidFill>
              <w14:schemeClr w14:val="tx1"/>
            </w14:solidFill>
          </w14:textFill>
        </w:rPr>
      </w:pPr>
    </w:p>
    <w:p w14:paraId="193F6E1C">
      <w:pPr>
        <w:rPr>
          <w:rFonts w:hint="eastAsia" w:ascii="宋体" w:hAnsi="宋体" w:eastAsia="宋体" w:cs="宋体"/>
          <w:b/>
          <w:color w:val="000000" w:themeColor="text1"/>
          <w:shd w:val="clear" w:color="auto" w:fill="auto"/>
          <w14:textFill>
            <w14:solidFill>
              <w14:schemeClr w14:val="tx1"/>
            </w14:solidFill>
          </w14:textFill>
        </w:rPr>
      </w:pPr>
    </w:p>
    <w:p w14:paraId="274852A6">
      <w:pPr>
        <w:rPr>
          <w:rFonts w:hint="eastAsia" w:ascii="宋体" w:hAnsi="宋体" w:eastAsia="宋体" w:cs="宋体"/>
          <w:b/>
          <w:color w:val="000000" w:themeColor="text1"/>
          <w:shd w:val="clear" w:color="auto" w:fill="auto"/>
          <w14:textFill>
            <w14:solidFill>
              <w14:schemeClr w14:val="tx1"/>
            </w14:solidFill>
          </w14:textFill>
        </w:rPr>
      </w:pPr>
    </w:p>
    <w:p w14:paraId="77D27DAC">
      <w:pPr>
        <w:rPr>
          <w:rFonts w:hint="eastAsia" w:ascii="宋体" w:hAnsi="宋体" w:eastAsia="宋体" w:cs="宋体"/>
          <w:b/>
          <w:color w:val="000000" w:themeColor="text1"/>
          <w:shd w:val="clear" w:color="auto" w:fill="auto"/>
          <w14:textFill>
            <w14:solidFill>
              <w14:schemeClr w14:val="tx1"/>
            </w14:solidFill>
          </w14:textFill>
        </w:rPr>
      </w:pPr>
    </w:p>
    <w:p w14:paraId="3F88DBEE">
      <w:pPr>
        <w:rPr>
          <w:rFonts w:hint="eastAsia" w:ascii="宋体" w:hAnsi="宋体" w:eastAsia="宋体" w:cs="宋体"/>
          <w:b/>
          <w:color w:val="000000" w:themeColor="text1"/>
          <w:shd w:val="clear" w:color="auto" w:fill="auto"/>
          <w14:textFill>
            <w14:solidFill>
              <w14:schemeClr w14:val="tx1"/>
            </w14:solidFill>
          </w14:textFill>
        </w:rPr>
      </w:pPr>
    </w:p>
    <w:p w14:paraId="53AF4E43">
      <w:pPr>
        <w:rPr>
          <w:rFonts w:hint="eastAsia" w:ascii="宋体" w:hAnsi="宋体" w:eastAsia="宋体" w:cs="宋体"/>
          <w:b/>
          <w:color w:val="000000" w:themeColor="text1"/>
          <w:shd w:val="clear" w:color="auto" w:fill="auto"/>
          <w14:textFill>
            <w14:solidFill>
              <w14:schemeClr w14:val="tx1"/>
            </w14:solidFill>
          </w14:textFill>
        </w:rPr>
      </w:pPr>
    </w:p>
    <w:p w14:paraId="204C056B">
      <w:pPr>
        <w:rPr>
          <w:rFonts w:hint="eastAsia" w:ascii="宋体" w:hAnsi="宋体" w:eastAsia="宋体" w:cs="宋体"/>
          <w:b/>
          <w:color w:val="000000" w:themeColor="text1"/>
          <w:shd w:val="clear" w:color="auto" w:fill="auto"/>
          <w14:textFill>
            <w14:solidFill>
              <w14:schemeClr w14:val="tx1"/>
            </w14:solidFill>
          </w14:textFill>
        </w:rPr>
      </w:pPr>
    </w:p>
    <w:p w14:paraId="636D4999">
      <w:pPr>
        <w:rPr>
          <w:rFonts w:hint="eastAsia" w:ascii="宋体" w:hAnsi="宋体" w:eastAsia="宋体" w:cs="宋体"/>
          <w:b/>
          <w:color w:val="000000" w:themeColor="text1"/>
          <w:shd w:val="clear" w:color="auto" w:fill="auto"/>
          <w14:textFill>
            <w14:solidFill>
              <w14:schemeClr w14:val="tx1"/>
            </w14:solidFill>
          </w14:textFill>
        </w:rPr>
      </w:pPr>
    </w:p>
    <w:p w14:paraId="75F15E84">
      <w:pPr>
        <w:rPr>
          <w:rFonts w:hint="eastAsia" w:ascii="宋体" w:hAnsi="宋体" w:eastAsia="宋体" w:cs="宋体"/>
          <w:b/>
          <w:color w:val="000000" w:themeColor="text1"/>
          <w:shd w:val="clear" w:color="auto" w:fill="auto"/>
          <w14:textFill>
            <w14:solidFill>
              <w14:schemeClr w14:val="tx1"/>
            </w14:solidFill>
          </w14:textFill>
        </w:rPr>
      </w:pPr>
    </w:p>
    <w:p w14:paraId="4C3B2FD4">
      <w:pPr>
        <w:rPr>
          <w:rFonts w:hint="eastAsia" w:ascii="宋体" w:hAnsi="宋体" w:eastAsia="宋体" w:cs="宋体"/>
          <w:b/>
          <w:color w:val="000000" w:themeColor="text1"/>
          <w:shd w:val="clear" w:color="auto" w:fill="auto"/>
          <w14:textFill>
            <w14:solidFill>
              <w14:schemeClr w14:val="tx1"/>
            </w14:solidFill>
          </w14:textFill>
        </w:rPr>
      </w:pPr>
    </w:p>
    <w:p w14:paraId="2E4FEA35">
      <w:pPr>
        <w:rPr>
          <w:rFonts w:hint="eastAsia" w:ascii="宋体" w:hAnsi="宋体" w:eastAsia="宋体" w:cs="宋体"/>
          <w:b/>
          <w:color w:val="000000" w:themeColor="text1"/>
          <w:shd w:val="clear" w:color="auto" w:fill="auto"/>
          <w14:textFill>
            <w14:solidFill>
              <w14:schemeClr w14:val="tx1"/>
            </w14:solidFill>
          </w14:textFill>
        </w:rPr>
      </w:pPr>
    </w:p>
    <w:p w14:paraId="2FA3EC0D">
      <w:pPr>
        <w:rPr>
          <w:rFonts w:hint="eastAsia" w:ascii="宋体" w:hAnsi="宋体" w:eastAsia="宋体" w:cs="宋体"/>
          <w:b/>
          <w:color w:val="000000" w:themeColor="text1"/>
          <w:shd w:val="clear" w:color="auto" w:fill="auto"/>
          <w14:textFill>
            <w14:solidFill>
              <w14:schemeClr w14:val="tx1"/>
            </w14:solidFill>
          </w14:textFill>
        </w:rPr>
      </w:pPr>
    </w:p>
    <w:p w14:paraId="16D464E4">
      <w:pPr>
        <w:rPr>
          <w:rFonts w:hint="eastAsia" w:ascii="宋体" w:hAnsi="宋体" w:eastAsia="宋体" w:cs="宋体"/>
          <w:b/>
          <w:color w:val="000000" w:themeColor="text1"/>
          <w:shd w:val="clear" w:color="auto" w:fill="auto"/>
          <w14:textFill>
            <w14:solidFill>
              <w14:schemeClr w14:val="tx1"/>
            </w14:solidFill>
          </w14:textFill>
        </w:rPr>
      </w:pPr>
    </w:p>
    <w:p w14:paraId="127C54D1">
      <w:pPr>
        <w:rPr>
          <w:rFonts w:hint="eastAsia" w:ascii="宋体" w:hAnsi="宋体" w:eastAsia="宋体" w:cs="宋体"/>
          <w:b/>
          <w:color w:val="000000" w:themeColor="text1"/>
          <w:shd w:val="clear" w:color="auto" w:fill="auto"/>
          <w14:textFill>
            <w14:solidFill>
              <w14:schemeClr w14:val="tx1"/>
            </w14:solidFill>
          </w14:textFill>
        </w:rPr>
      </w:pPr>
    </w:p>
    <w:p w14:paraId="5EAA4E59">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42913422"/>
      <w:bookmarkStart w:id="182" w:name="_Toc313008359"/>
      <w:bookmarkStart w:id="183"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B9254F-D01C-4CC7-B30B-BF260115F6C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6DDF1523-7034-425E-9C4E-255ED93A5F7B}"/>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7911C418-C2DE-428E-909A-6813550DA6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C775E"/>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593193"/>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2A4E4D"/>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4210C"/>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B301E7"/>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2FF58D2"/>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DE308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DA0BF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2F16EA"/>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12960</Words>
  <Characters>13231</Characters>
  <Lines>182</Lines>
  <Paragraphs>51</Paragraphs>
  <TotalTime>2</TotalTime>
  <ScaleCrop>false</ScaleCrop>
  <LinksUpToDate>false</LinksUpToDate>
  <CharactersWithSpaces>14272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2026-04-20T01:36:47Z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