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6FW054</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兴龙湖院区有组织废气、噪声监测服务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eastAsia="zh-CN"/>
              </w:rPr>
              <w:t>重庆永川区重医附属永川医院兴龙湖院区全科楼</w:t>
            </w:r>
            <w:r>
              <w:rPr>
                <w:rFonts w:hint="eastAsia" w:ascii="楷体" w:hAnsi="楷体" w:eastAsia="楷体"/>
                <w:sz w:val="24"/>
                <w:szCs w:val="24"/>
                <w:lang w:val="en-US" w:eastAsia="zh-CN"/>
              </w:rPr>
              <w:t>21楼</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hint="eastAsia" w:ascii="楷体" w:hAnsi="楷体" w:eastAsia="楷体"/>
                <w:sz w:val="24"/>
                <w:szCs w:val="24"/>
                <w:lang w:eastAsia="zh-CN"/>
              </w:rPr>
            </w:pPr>
            <w:bookmarkStart w:id="0" w:name="_GoBack"/>
            <w:bookmarkEnd w:id="0"/>
            <w:r>
              <w:rPr>
                <w:rFonts w:hint="eastAsia" w:ascii="楷体" w:hAnsi="楷体" w:eastAsia="楷体"/>
                <w:sz w:val="24"/>
                <w:szCs w:val="24"/>
              </w:rPr>
              <w:t>023-</w:t>
            </w:r>
            <w:r>
              <w:rPr>
                <w:rFonts w:hint="eastAsia" w:ascii="楷体" w:hAnsi="楷体" w:eastAsia="楷体"/>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6</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6</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16</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兴龙湖院区有组织废气、噪声监测服务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总预算为3.1万元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hint="eastAsia" w:ascii="楷体" w:hAnsi="楷体" w:eastAsia="楷体"/>
                <w:sz w:val="24"/>
                <w:szCs w:val="24"/>
                <w:lang w:eastAsia="zh-CN"/>
              </w:rPr>
            </w:pPr>
            <w:r>
              <w:rPr>
                <w:rFonts w:hint="eastAsia" w:ascii="楷体" w:hAnsi="楷体" w:eastAsia="楷体"/>
                <w:sz w:val="24"/>
                <w:szCs w:val="24"/>
              </w:rPr>
              <w:t>1、营业执照三证合一（副本）</w:t>
            </w:r>
            <w:r>
              <w:rPr>
                <w:rFonts w:hint="eastAsia" w:ascii="楷体" w:hAnsi="楷体" w:eastAsia="楷体"/>
                <w:sz w:val="24"/>
                <w:szCs w:val="24"/>
                <w:lang w:eastAsia="zh-CN"/>
              </w:rPr>
              <w:t>，</w:t>
            </w:r>
            <w:r>
              <w:rPr>
                <w:rFonts w:hint="eastAsia" w:ascii="楷体" w:hAnsi="楷体" w:eastAsia="楷体"/>
                <w:sz w:val="24"/>
                <w:szCs w:val="24"/>
              </w:rPr>
              <w:t>经营范围包含环境检测</w:t>
            </w:r>
            <w:r>
              <w:rPr>
                <w:rFonts w:hint="eastAsia" w:ascii="楷体" w:hAnsi="楷体" w:eastAsia="楷体"/>
                <w:sz w:val="24"/>
                <w:szCs w:val="24"/>
                <w:lang w:eastAsia="zh-CN"/>
              </w:rPr>
              <w:t>。</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032B3ED2">
            <w:pPr>
              <w:keepLines/>
              <w:spacing w:line="340" w:lineRule="exact"/>
              <w:rPr>
                <w:rFonts w:hint="eastAsia" w:ascii="楷体" w:hAnsi="楷体" w:eastAsia="楷体"/>
                <w:sz w:val="24"/>
                <w:szCs w:val="24"/>
                <w:lang w:eastAsia="zh-CN"/>
              </w:rPr>
            </w:pPr>
            <w:r>
              <w:rPr>
                <w:rFonts w:hint="eastAsia" w:ascii="楷体" w:hAnsi="楷体" w:eastAsia="楷体"/>
                <w:sz w:val="24"/>
                <w:szCs w:val="24"/>
                <w:lang w:val="en-US" w:eastAsia="zh-CN"/>
              </w:rPr>
              <w:t>4、</w:t>
            </w:r>
            <w:r>
              <w:rPr>
                <w:rFonts w:hint="eastAsia" w:ascii="楷体" w:hAnsi="楷体" w:eastAsia="楷体"/>
                <w:sz w:val="24"/>
                <w:szCs w:val="24"/>
              </w:rPr>
              <w:t xml:space="preserve">检验检测机构资质认定证书及附表，附表中须含有所需的检测项目。 </w:t>
            </w:r>
            <w:r>
              <w:rPr>
                <w:rFonts w:hint="eastAsia" w:ascii="楷体" w:hAnsi="楷体" w:eastAsia="楷体"/>
                <w:sz w:val="24"/>
                <w:szCs w:val="24"/>
                <w:lang w:eastAsia="zh-CN"/>
              </w:rPr>
              <w:t>（提供证明资料的复印件并加盖公章）</w:t>
            </w:r>
          </w:p>
          <w:p w14:paraId="63070125">
            <w:pPr>
              <w:keepLines/>
              <w:spacing w:line="340" w:lineRule="exact"/>
              <w:rPr>
                <w:rFonts w:hint="default" w:ascii="楷体" w:hAnsi="楷体" w:eastAsia="楷体"/>
                <w:sz w:val="24"/>
                <w:szCs w:val="24"/>
                <w:lang w:val="en-US" w:eastAsia="zh-CN"/>
              </w:rPr>
            </w:pP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30C47D2B">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1.服务内容：按照重庆医科大学附属永川医院（重庆市第二人民医院）新区分院排污许可证要求，定期对采购方有组织废气（污水处理站废气和天然气燃烧废气）和院区四周噪声进行理化指标监测，并向采购方提交正式检测报告。监测点位名称、监测项目、监测频次、手工监测采样方法及个数、测定方法、许可限值及执行标准如下：</w:t>
      </w:r>
    </w:p>
    <w:p w14:paraId="7B7A43B1">
      <w:pPr>
        <w:pStyle w:val="10"/>
        <w:spacing w:before="0" w:beforeAutospacing="0" w:after="0" w:afterAutospacing="0" w:line="440" w:lineRule="exact"/>
        <w:jc w:val="center"/>
        <w:rPr>
          <w:color w:val="auto"/>
          <w:sz w:val="28"/>
          <w:szCs w:val="28"/>
        </w:rPr>
      </w:pPr>
      <w:r>
        <w:rPr>
          <w:rFonts w:hint="eastAsia"/>
          <w:color w:val="auto"/>
          <w:sz w:val="28"/>
          <w:szCs w:val="28"/>
        </w:rPr>
        <w:t>监测内容一览表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84"/>
        <w:gridCol w:w="1212"/>
        <w:gridCol w:w="1338"/>
        <w:gridCol w:w="1385"/>
        <w:gridCol w:w="1620"/>
        <w:gridCol w:w="1149"/>
        <w:gridCol w:w="1065"/>
      </w:tblGrid>
      <w:tr w14:paraId="5D73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381EF67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484" w:type="dxa"/>
            <w:shd w:val="clear" w:color="auto" w:fill="auto"/>
            <w:noWrap w:val="0"/>
            <w:vAlign w:val="top"/>
          </w:tcPr>
          <w:p w14:paraId="57CAE62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类别</w:t>
            </w:r>
          </w:p>
        </w:tc>
        <w:tc>
          <w:tcPr>
            <w:tcW w:w="1212" w:type="dxa"/>
            <w:shd w:val="clear" w:color="auto" w:fill="auto"/>
            <w:noWrap w:val="0"/>
            <w:vAlign w:val="center"/>
          </w:tcPr>
          <w:p w14:paraId="614D7EC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监测点位</w:t>
            </w:r>
          </w:p>
        </w:tc>
        <w:tc>
          <w:tcPr>
            <w:tcW w:w="1338" w:type="dxa"/>
            <w:shd w:val="clear" w:color="auto" w:fill="auto"/>
            <w:noWrap w:val="0"/>
            <w:vAlign w:val="center"/>
          </w:tcPr>
          <w:p w14:paraId="6506919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监测项目</w:t>
            </w:r>
          </w:p>
        </w:tc>
        <w:tc>
          <w:tcPr>
            <w:tcW w:w="1385" w:type="dxa"/>
            <w:shd w:val="clear" w:color="auto" w:fill="auto"/>
            <w:noWrap w:val="0"/>
            <w:vAlign w:val="center"/>
          </w:tcPr>
          <w:p w14:paraId="0A48D529">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监测频次</w:t>
            </w:r>
          </w:p>
        </w:tc>
        <w:tc>
          <w:tcPr>
            <w:tcW w:w="1620" w:type="dxa"/>
            <w:shd w:val="clear" w:color="auto" w:fill="auto"/>
            <w:noWrap w:val="0"/>
            <w:vAlign w:val="center"/>
          </w:tcPr>
          <w:p w14:paraId="414D84A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监测采样方法及个数</w:t>
            </w:r>
          </w:p>
        </w:tc>
        <w:tc>
          <w:tcPr>
            <w:tcW w:w="1149" w:type="dxa"/>
            <w:shd w:val="clear" w:color="auto" w:fill="auto"/>
            <w:noWrap w:val="0"/>
            <w:vAlign w:val="center"/>
          </w:tcPr>
          <w:p w14:paraId="3CADCC3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测定方法</w:t>
            </w:r>
          </w:p>
        </w:tc>
        <w:tc>
          <w:tcPr>
            <w:tcW w:w="1065" w:type="dxa"/>
            <w:shd w:val="clear" w:color="auto" w:fill="auto"/>
            <w:noWrap w:val="0"/>
            <w:vAlign w:val="center"/>
          </w:tcPr>
          <w:p w14:paraId="23DF307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许可限值</w:t>
            </w:r>
          </w:p>
        </w:tc>
      </w:tr>
      <w:tr w14:paraId="787F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3" w:type="dxa"/>
            <w:shd w:val="clear" w:color="auto" w:fill="auto"/>
            <w:noWrap w:val="0"/>
            <w:vAlign w:val="center"/>
          </w:tcPr>
          <w:p w14:paraId="5090FA13">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84" w:type="dxa"/>
            <w:vMerge w:val="restart"/>
            <w:shd w:val="clear" w:color="auto" w:fill="auto"/>
            <w:noWrap w:val="0"/>
            <w:vAlign w:val="center"/>
          </w:tcPr>
          <w:p w14:paraId="2261C20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有组织废气</w:t>
            </w:r>
          </w:p>
        </w:tc>
        <w:tc>
          <w:tcPr>
            <w:tcW w:w="1212" w:type="dxa"/>
            <w:vMerge w:val="restart"/>
            <w:shd w:val="clear" w:color="auto" w:fill="auto"/>
            <w:noWrap w:val="0"/>
            <w:vAlign w:val="center"/>
          </w:tcPr>
          <w:p w14:paraId="0245899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污水处理站废气排放口（DA001）</w:t>
            </w:r>
          </w:p>
        </w:tc>
        <w:tc>
          <w:tcPr>
            <w:tcW w:w="1338" w:type="dxa"/>
            <w:shd w:val="clear" w:color="auto" w:fill="auto"/>
            <w:noWrap w:val="0"/>
            <w:vAlign w:val="center"/>
          </w:tcPr>
          <w:p w14:paraId="5FB5012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臭气浓度</w:t>
            </w:r>
          </w:p>
        </w:tc>
        <w:tc>
          <w:tcPr>
            <w:tcW w:w="1385" w:type="dxa"/>
            <w:shd w:val="clear" w:color="auto" w:fill="auto"/>
            <w:noWrap w:val="0"/>
            <w:vAlign w:val="center"/>
          </w:tcPr>
          <w:p w14:paraId="2865637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4526DE7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2B9BDA3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环境空气和废气 臭气的测定 三点比较式臭袋法 HJ 1262-2022</w:t>
            </w:r>
          </w:p>
        </w:tc>
        <w:tc>
          <w:tcPr>
            <w:tcW w:w="1065" w:type="dxa"/>
            <w:shd w:val="clear" w:color="auto" w:fill="auto"/>
            <w:noWrap w:val="0"/>
            <w:vAlign w:val="center"/>
          </w:tcPr>
          <w:p w14:paraId="311C7DF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3C32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03" w:type="dxa"/>
            <w:shd w:val="clear" w:color="auto" w:fill="auto"/>
            <w:noWrap w:val="0"/>
            <w:vAlign w:val="center"/>
          </w:tcPr>
          <w:p w14:paraId="5A1E92B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484" w:type="dxa"/>
            <w:vMerge w:val="continue"/>
            <w:shd w:val="clear" w:color="auto" w:fill="auto"/>
            <w:noWrap w:val="0"/>
            <w:vAlign w:val="top"/>
          </w:tcPr>
          <w:p w14:paraId="21A9B798">
            <w:pPr>
              <w:rPr>
                <w:rFonts w:hint="eastAsia" w:ascii="宋体" w:hAnsi="宋体" w:eastAsia="宋体" w:cs="宋体"/>
                <w:color w:val="auto"/>
                <w:sz w:val="18"/>
                <w:szCs w:val="18"/>
              </w:rPr>
            </w:pPr>
          </w:p>
        </w:tc>
        <w:tc>
          <w:tcPr>
            <w:tcW w:w="1212" w:type="dxa"/>
            <w:vMerge w:val="continue"/>
            <w:shd w:val="clear" w:color="auto" w:fill="auto"/>
            <w:noWrap w:val="0"/>
            <w:vAlign w:val="top"/>
          </w:tcPr>
          <w:p w14:paraId="6E72B746">
            <w:pPr>
              <w:rPr>
                <w:rFonts w:hint="eastAsia" w:ascii="宋体" w:hAnsi="宋体" w:eastAsia="宋体" w:cs="宋体"/>
                <w:color w:val="auto"/>
                <w:sz w:val="18"/>
                <w:szCs w:val="18"/>
              </w:rPr>
            </w:pPr>
          </w:p>
        </w:tc>
        <w:tc>
          <w:tcPr>
            <w:tcW w:w="1338" w:type="dxa"/>
            <w:shd w:val="clear" w:color="auto" w:fill="auto"/>
            <w:noWrap w:val="0"/>
            <w:vAlign w:val="center"/>
          </w:tcPr>
          <w:p w14:paraId="2D718D3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氨（氨气）</w:t>
            </w:r>
          </w:p>
        </w:tc>
        <w:tc>
          <w:tcPr>
            <w:tcW w:w="1385" w:type="dxa"/>
            <w:shd w:val="clear" w:color="auto" w:fill="auto"/>
            <w:noWrap w:val="0"/>
            <w:vAlign w:val="center"/>
          </w:tcPr>
          <w:p w14:paraId="480A187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24661C7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12050133">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环境空气和废气 氨的测定 纳氏试剂分光光度法 HJ 533-2009</w:t>
            </w:r>
          </w:p>
        </w:tc>
        <w:tc>
          <w:tcPr>
            <w:tcW w:w="1065" w:type="dxa"/>
            <w:shd w:val="clear" w:color="auto" w:fill="auto"/>
            <w:noWrap w:val="0"/>
            <w:vAlign w:val="center"/>
          </w:tcPr>
          <w:p w14:paraId="296F4AC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4.9kg/h</w:t>
            </w:r>
          </w:p>
        </w:tc>
      </w:tr>
      <w:tr w14:paraId="75D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center"/>
          </w:tcPr>
          <w:p w14:paraId="74216DC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484" w:type="dxa"/>
            <w:vMerge w:val="continue"/>
            <w:shd w:val="clear" w:color="auto" w:fill="auto"/>
            <w:noWrap w:val="0"/>
            <w:vAlign w:val="top"/>
          </w:tcPr>
          <w:p w14:paraId="4F7FFCF0">
            <w:pPr>
              <w:rPr>
                <w:rFonts w:hint="eastAsia" w:ascii="宋体" w:hAnsi="宋体" w:eastAsia="宋体" w:cs="宋体"/>
                <w:color w:val="auto"/>
                <w:sz w:val="18"/>
                <w:szCs w:val="18"/>
              </w:rPr>
            </w:pPr>
          </w:p>
        </w:tc>
        <w:tc>
          <w:tcPr>
            <w:tcW w:w="1212" w:type="dxa"/>
            <w:vMerge w:val="continue"/>
            <w:shd w:val="clear" w:color="auto" w:fill="auto"/>
            <w:noWrap w:val="0"/>
            <w:vAlign w:val="top"/>
          </w:tcPr>
          <w:p w14:paraId="3A507B2C">
            <w:pPr>
              <w:rPr>
                <w:rFonts w:hint="eastAsia" w:ascii="宋体" w:hAnsi="宋体" w:eastAsia="宋体" w:cs="宋体"/>
                <w:color w:val="auto"/>
                <w:sz w:val="18"/>
                <w:szCs w:val="18"/>
              </w:rPr>
            </w:pPr>
          </w:p>
        </w:tc>
        <w:tc>
          <w:tcPr>
            <w:tcW w:w="1338" w:type="dxa"/>
            <w:shd w:val="clear" w:color="auto" w:fill="auto"/>
            <w:noWrap w:val="0"/>
            <w:vAlign w:val="center"/>
          </w:tcPr>
          <w:p w14:paraId="44541479">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硫化氢</w:t>
            </w:r>
          </w:p>
        </w:tc>
        <w:tc>
          <w:tcPr>
            <w:tcW w:w="1385" w:type="dxa"/>
            <w:shd w:val="clear" w:color="auto" w:fill="auto"/>
            <w:noWrap w:val="0"/>
            <w:vAlign w:val="center"/>
          </w:tcPr>
          <w:p w14:paraId="6C84421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7F4F586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13311FC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亚甲基蓝分光光度法（B）《空气和废气监测分析方法》（第四版）国家环境保护总局（2003年）（5.4.10.3）</w:t>
            </w:r>
          </w:p>
        </w:tc>
        <w:tc>
          <w:tcPr>
            <w:tcW w:w="1065" w:type="dxa"/>
            <w:shd w:val="clear" w:color="auto" w:fill="auto"/>
            <w:noWrap w:val="0"/>
            <w:vAlign w:val="center"/>
          </w:tcPr>
          <w:p w14:paraId="3F05BFB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0.33kg/h</w:t>
            </w:r>
          </w:p>
        </w:tc>
      </w:tr>
      <w:tr w14:paraId="0698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580A7045">
            <w:pP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484" w:type="dxa"/>
            <w:vMerge w:val="continue"/>
            <w:shd w:val="clear" w:color="auto" w:fill="auto"/>
            <w:noWrap w:val="0"/>
            <w:vAlign w:val="top"/>
          </w:tcPr>
          <w:p w14:paraId="1F68509A">
            <w:pPr>
              <w:rPr>
                <w:rFonts w:hint="eastAsia" w:ascii="宋体" w:hAnsi="宋体" w:eastAsia="宋体" w:cs="宋体"/>
                <w:color w:val="auto"/>
                <w:sz w:val="18"/>
                <w:szCs w:val="18"/>
              </w:rPr>
            </w:pPr>
          </w:p>
        </w:tc>
        <w:tc>
          <w:tcPr>
            <w:tcW w:w="1212" w:type="dxa"/>
            <w:vMerge w:val="restart"/>
            <w:shd w:val="clear" w:color="auto" w:fill="auto"/>
            <w:noWrap w:val="0"/>
            <w:vAlign w:val="center"/>
          </w:tcPr>
          <w:p w14:paraId="384E826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锅炉废气排放口（DA002）</w:t>
            </w:r>
          </w:p>
        </w:tc>
        <w:tc>
          <w:tcPr>
            <w:tcW w:w="1338" w:type="dxa"/>
            <w:shd w:val="clear" w:color="auto" w:fill="auto"/>
            <w:noWrap w:val="0"/>
            <w:vAlign w:val="center"/>
          </w:tcPr>
          <w:p w14:paraId="64EBFE4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氮氧化物</w:t>
            </w:r>
          </w:p>
        </w:tc>
        <w:tc>
          <w:tcPr>
            <w:tcW w:w="1385" w:type="dxa"/>
            <w:shd w:val="clear" w:color="auto" w:fill="auto"/>
            <w:noWrap w:val="0"/>
            <w:vAlign w:val="center"/>
          </w:tcPr>
          <w:p w14:paraId="0CC8418D">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1次/月</w:t>
            </w:r>
          </w:p>
        </w:tc>
        <w:tc>
          <w:tcPr>
            <w:tcW w:w="1620" w:type="dxa"/>
            <w:shd w:val="clear" w:color="auto" w:fill="auto"/>
            <w:noWrap w:val="0"/>
            <w:vAlign w:val="center"/>
          </w:tcPr>
          <w:p w14:paraId="6F6AE1F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5A71165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固定污染源废气 氮氧化物测定 定电位电解法 HJ 693-2014</w:t>
            </w:r>
          </w:p>
        </w:tc>
        <w:tc>
          <w:tcPr>
            <w:tcW w:w="1065" w:type="dxa"/>
            <w:shd w:val="clear" w:color="auto" w:fill="auto"/>
            <w:noWrap w:val="0"/>
            <w:vAlign w:val="center"/>
          </w:tcPr>
          <w:p w14:paraId="79199602">
            <w:pPr>
              <w:jc w:val="center"/>
              <w:rPr>
                <w:rFonts w:hint="eastAsia" w:ascii="宋体" w:hAnsi="宋体" w:eastAsia="宋体" w:cs="宋体"/>
                <w:color w:val="auto"/>
                <w:sz w:val="18"/>
                <w:szCs w:val="18"/>
              </w:rPr>
            </w:pPr>
            <w:r>
              <w:rPr>
                <w:rFonts w:hint="eastAsia" w:ascii="宋体" w:hAnsi="宋体" w:eastAsia="宋体" w:cs="宋体"/>
                <w:color w:val="auto"/>
                <w:sz w:val="18"/>
                <w:szCs w:val="18"/>
              </w:rPr>
              <w:t>50mg/m</w:t>
            </w:r>
            <w:r>
              <w:rPr>
                <w:rFonts w:hint="eastAsia" w:ascii="宋体" w:hAnsi="宋体" w:eastAsia="宋体" w:cs="宋体"/>
                <w:color w:val="auto"/>
                <w:sz w:val="18"/>
                <w:szCs w:val="18"/>
                <w:vertAlign w:val="superscript"/>
              </w:rPr>
              <w:t>3</w:t>
            </w:r>
          </w:p>
        </w:tc>
      </w:tr>
      <w:tr w14:paraId="46A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506E5FCF">
            <w:pP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484" w:type="dxa"/>
            <w:vMerge w:val="continue"/>
            <w:shd w:val="clear" w:color="auto" w:fill="auto"/>
            <w:noWrap w:val="0"/>
            <w:vAlign w:val="top"/>
          </w:tcPr>
          <w:p w14:paraId="769B68F8">
            <w:pPr>
              <w:rPr>
                <w:rFonts w:hint="eastAsia" w:ascii="宋体" w:hAnsi="宋体" w:eastAsia="宋体" w:cs="宋体"/>
                <w:color w:val="auto"/>
                <w:sz w:val="18"/>
                <w:szCs w:val="18"/>
              </w:rPr>
            </w:pPr>
          </w:p>
        </w:tc>
        <w:tc>
          <w:tcPr>
            <w:tcW w:w="1212" w:type="dxa"/>
            <w:vMerge w:val="continue"/>
            <w:shd w:val="clear" w:color="auto" w:fill="auto"/>
            <w:noWrap w:val="0"/>
            <w:vAlign w:val="top"/>
          </w:tcPr>
          <w:p w14:paraId="798F77F7">
            <w:pPr>
              <w:rPr>
                <w:rFonts w:hint="eastAsia" w:ascii="宋体" w:hAnsi="宋体" w:eastAsia="宋体" w:cs="宋体"/>
                <w:color w:val="auto"/>
                <w:sz w:val="18"/>
                <w:szCs w:val="18"/>
              </w:rPr>
            </w:pPr>
          </w:p>
        </w:tc>
        <w:tc>
          <w:tcPr>
            <w:tcW w:w="1338" w:type="dxa"/>
            <w:shd w:val="clear" w:color="auto" w:fill="auto"/>
            <w:noWrap w:val="0"/>
            <w:vAlign w:val="center"/>
          </w:tcPr>
          <w:p w14:paraId="407AC8B2">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颗粒物</w:t>
            </w:r>
          </w:p>
        </w:tc>
        <w:tc>
          <w:tcPr>
            <w:tcW w:w="1385" w:type="dxa"/>
            <w:shd w:val="clear" w:color="auto" w:fill="auto"/>
            <w:noWrap w:val="0"/>
            <w:vAlign w:val="center"/>
          </w:tcPr>
          <w:p w14:paraId="273DF91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1次/年</w:t>
            </w:r>
          </w:p>
        </w:tc>
        <w:tc>
          <w:tcPr>
            <w:tcW w:w="1620" w:type="dxa"/>
            <w:shd w:val="clear" w:color="auto" w:fill="auto"/>
            <w:noWrap w:val="0"/>
            <w:vAlign w:val="center"/>
          </w:tcPr>
          <w:p w14:paraId="311FBB7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4246755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固定污染源废气 低浓度颗粒物的测定 重量法 HJ 836-2017</w:t>
            </w:r>
          </w:p>
        </w:tc>
        <w:tc>
          <w:tcPr>
            <w:tcW w:w="1065" w:type="dxa"/>
            <w:shd w:val="clear" w:color="auto" w:fill="auto"/>
            <w:noWrap w:val="0"/>
            <w:vAlign w:val="center"/>
          </w:tcPr>
          <w:p w14:paraId="2FEDC767">
            <w:pPr>
              <w:jc w:val="center"/>
              <w:rPr>
                <w:rFonts w:hint="eastAsia" w:ascii="宋体" w:hAnsi="宋体" w:eastAsia="宋体" w:cs="宋体"/>
                <w:color w:val="auto"/>
                <w:sz w:val="18"/>
                <w:szCs w:val="18"/>
              </w:rPr>
            </w:pPr>
            <w:r>
              <w:rPr>
                <w:rFonts w:hint="eastAsia" w:ascii="宋体" w:hAnsi="宋体" w:eastAsia="宋体" w:cs="宋体"/>
                <w:color w:val="auto"/>
                <w:sz w:val="18"/>
                <w:szCs w:val="18"/>
              </w:rPr>
              <w:t>20mg/m</w:t>
            </w:r>
            <w:r>
              <w:rPr>
                <w:rFonts w:hint="eastAsia" w:ascii="宋体" w:hAnsi="宋体" w:eastAsia="宋体" w:cs="宋体"/>
                <w:color w:val="auto"/>
                <w:sz w:val="18"/>
                <w:szCs w:val="18"/>
                <w:vertAlign w:val="superscript"/>
              </w:rPr>
              <w:t>3</w:t>
            </w:r>
          </w:p>
        </w:tc>
      </w:tr>
      <w:tr w14:paraId="072A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38986410">
            <w:pPr>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484" w:type="dxa"/>
            <w:vMerge w:val="continue"/>
            <w:shd w:val="clear" w:color="auto" w:fill="auto"/>
            <w:noWrap w:val="0"/>
            <w:vAlign w:val="top"/>
          </w:tcPr>
          <w:p w14:paraId="6E87EF10">
            <w:pPr>
              <w:rPr>
                <w:rFonts w:hint="eastAsia" w:ascii="宋体" w:hAnsi="宋体" w:eastAsia="宋体" w:cs="宋体"/>
                <w:color w:val="auto"/>
                <w:sz w:val="18"/>
                <w:szCs w:val="18"/>
              </w:rPr>
            </w:pPr>
          </w:p>
        </w:tc>
        <w:tc>
          <w:tcPr>
            <w:tcW w:w="1212" w:type="dxa"/>
            <w:vMerge w:val="continue"/>
            <w:shd w:val="clear" w:color="auto" w:fill="auto"/>
            <w:noWrap w:val="0"/>
            <w:vAlign w:val="top"/>
          </w:tcPr>
          <w:p w14:paraId="612668F7">
            <w:pPr>
              <w:rPr>
                <w:rFonts w:hint="eastAsia" w:ascii="宋体" w:hAnsi="宋体" w:eastAsia="宋体" w:cs="宋体"/>
                <w:color w:val="auto"/>
                <w:sz w:val="18"/>
                <w:szCs w:val="18"/>
              </w:rPr>
            </w:pPr>
          </w:p>
        </w:tc>
        <w:tc>
          <w:tcPr>
            <w:tcW w:w="1338" w:type="dxa"/>
            <w:shd w:val="clear" w:color="auto" w:fill="auto"/>
            <w:noWrap w:val="0"/>
            <w:vAlign w:val="center"/>
          </w:tcPr>
          <w:p w14:paraId="60FB97A3">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二氧化硫</w:t>
            </w:r>
          </w:p>
        </w:tc>
        <w:tc>
          <w:tcPr>
            <w:tcW w:w="1385" w:type="dxa"/>
            <w:shd w:val="clear" w:color="auto" w:fill="auto"/>
            <w:noWrap w:val="0"/>
            <w:vAlign w:val="center"/>
          </w:tcPr>
          <w:p w14:paraId="5780A25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1次/年</w:t>
            </w:r>
          </w:p>
        </w:tc>
        <w:tc>
          <w:tcPr>
            <w:tcW w:w="1620" w:type="dxa"/>
            <w:shd w:val="clear" w:color="auto" w:fill="auto"/>
            <w:noWrap w:val="0"/>
            <w:vAlign w:val="center"/>
          </w:tcPr>
          <w:p w14:paraId="79B2179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7E8D98A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固定污染源废气 二氧化硫的测定 定电位电解法 HJ 57-2017</w:t>
            </w:r>
          </w:p>
        </w:tc>
        <w:tc>
          <w:tcPr>
            <w:tcW w:w="1065" w:type="dxa"/>
            <w:shd w:val="clear" w:color="auto" w:fill="auto"/>
            <w:noWrap w:val="0"/>
            <w:vAlign w:val="center"/>
          </w:tcPr>
          <w:p w14:paraId="226C060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50mg/m</w:t>
            </w:r>
            <w:r>
              <w:rPr>
                <w:rFonts w:hint="eastAsia" w:ascii="宋体" w:hAnsi="宋体" w:eastAsia="宋体" w:cs="宋体"/>
                <w:color w:val="auto"/>
                <w:sz w:val="18"/>
                <w:szCs w:val="18"/>
                <w:vertAlign w:val="superscript"/>
              </w:rPr>
              <w:t>3</w:t>
            </w:r>
          </w:p>
        </w:tc>
      </w:tr>
      <w:tr w14:paraId="1EE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32C75360">
            <w:pPr>
              <w:rPr>
                <w:rFonts w:hint="eastAsia" w:ascii="宋体" w:hAnsi="宋体" w:eastAsia="宋体" w:cs="宋体"/>
                <w:color w:val="auto"/>
                <w:sz w:val="18"/>
                <w:szCs w:val="18"/>
              </w:rPr>
            </w:pPr>
            <w:r>
              <w:rPr>
                <w:rFonts w:hint="eastAsia" w:ascii="宋体" w:hAnsi="宋体" w:eastAsia="宋体" w:cs="宋体"/>
                <w:color w:val="auto"/>
                <w:sz w:val="18"/>
                <w:szCs w:val="18"/>
              </w:rPr>
              <w:t>7</w:t>
            </w:r>
          </w:p>
        </w:tc>
        <w:tc>
          <w:tcPr>
            <w:tcW w:w="484" w:type="dxa"/>
            <w:vMerge w:val="continue"/>
            <w:shd w:val="clear" w:color="auto" w:fill="auto"/>
            <w:noWrap w:val="0"/>
            <w:vAlign w:val="top"/>
          </w:tcPr>
          <w:p w14:paraId="611DDB37">
            <w:pPr>
              <w:rPr>
                <w:rFonts w:hint="eastAsia" w:ascii="宋体" w:hAnsi="宋体" w:eastAsia="宋体" w:cs="宋体"/>
                <w:color w:val="auto"/>
                <w:sz w:val="18"/>
                <w:szCs w:val="18"/>
              </w:rPr>
            </w:pPr>
          </w:p>
        </w:tc>
        <w:tc>
          <w:tcPr>
            <w:tcW w:w="1212" w:type="dxa"/>
            <w:vMerge w:val="continue"/>
            <w:shd w:val="clear" w:color="auto" w:fill="auto"/>
            <w:noWrap w:val="0"/>
            <w:vAlign w:val="top"/>
          </w:tcPr>
          <w:p w14:paraId="43E29928">
            <w:pPr>
              <w:rPr>
                <w:rFonts w:hint="eastAsia" w:ascii="宋体" w:hAnsi="宋体" w:eastAsia="宋体" w:cs="宋体"/>
                <w:color w:val="auto"/>
                <w:sz w:val="18"/>
                <w:szCs w:val="18"/>
              </w:rPr>
            </w:pPr>
          </w:p>
        </w:tc>
        <w:tc>
          <w:tcPr>
            <w:tcW w:w="1338" w:type="dxa"/>
            <w:shd w:val="clear" w:color="auto" w:fill="auto"/>
            <w:noWrap w:val="0"/>
            <w:vAlign w:val="center"/>
          </w:tcPr>
          <w:p w14:paraId="5E70EA9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林格曼黑度</w:t>
            </w:r>
          </w:p>
        </w:tc>
        <w:tc>
          <w:tcPr>
            <w:tcW w:w="1385" w:type="dxa"/>
            <w:shd w:val="clear" w:color="auto" w:fill="auto"/>
            <w:noWrap w:val="0"/>
            <w:vAlign w:val="center"/>
          </w:tcPr>
          <w:p w14:paraId="6721894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1次/年</w:t>
            </w:r>
          </w:p>
        </w:tc>
        <w:tc>
          <w:tcPr>
            <w:tcW w:w="1620" w:type="dxa"/>
            <w:shd w:val="clear" w:color="auto" w:fill="auto"/>
            <w:noWrap w:val="0"/>
            <w:vAlign w:val="center"/>
          </w:tcPr>
          <w:p w14:paraId="54C1075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非连续采样至少3个</w:t>
            </w:r>
          </w:p>
        </w:tc>
        <w:tc>
          <w:tcPr>
            <w:tcW w:w="1149" w:type="dxa"/>
            <w:shd w:val="clear" w:color="auto" w:fill="auto"/>
            <w:noWrap w:val="0"/>
            <w:vAlign w:val="center"/>
          </w:tcPr>
          <w:p w14:paraId="7BF3B39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固定污染源排放烟气黑度的测定 林格曼烟气黑度图法 HJ/T 398-2007</w:t>
            </w:r>
          </w:p>
        </w:tc>
        <w:tc>
          <w:tcPr>
            <w:tcW w:w="1065" w:type="dxa"/>
            <w:shd w:val="clear" w:color="auto" w:fill="auto"/>
            <w:noWrap w:val="0"/>
            <w:vAlign w:val="center"/>
          </w:tcPr>
          <w:p w14:paraId="2062BC72">
            <w:pPr>
              <w:rPr>
                <w:rFonts w:hint="eastAsia" w:ascii="宋体" w:hAnsi="宋体" w:eastAsia="宋体" w:cs="宋体"/>
                <w:color w:val="auto"/>
                <w:sz w:val="18"/>
                <w:szCs w:val="18"/>
              </w:rPr>
            </w:pPr>
            <w:r>
              <w:rPr>
                <w:rFonts w:hint="eastAsia" w:ascii="宋体" w:hAnsi="宋体" w:eastAsia="宋体" w:cs="宋体"/>
                <w:color w:val="auto"/>
                <w:sz w:val="18"/>
                <w:szCs w:val="18"/>
              </w:rPr>
              <w:t>1mg/m</w:t>
            </w:r>
            <w:r>
              <w:rPr>
                <w:rFonts w:hint="eastAsia" w:ascii="宋体" w:hAnsi="宋体" w:eastAsia="宋体" w:cs="宋体"/>
                <w:color w:val="auto"/>
                <w:sz w:val="18"/>
                <w:szCs w:val="18"/>
                <w:vertAlign w:val="superscript"/>
              </w:rPr>
              <w:t>3</w:t>
            </w:r>
          </w:p>
        </w:tc>
      </w:tr>
      <w:tr w14:paraId="56B3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1064F5DE">
            <w:pP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484" w:type="dxa"/>
            <w:vMerge w:val="restart"/>
            <w:shd w:val="clear" w:color="auto" w:fill="auto"/>
            <w:noWrap w:val="0"/>
            <w:vAlign w:val="center"/>
          </w:tcPr>
          <w:p w14:paraId="31D4B50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厂界噪声</w:t>
            </w:r>
          </w:p>
        </w:tc>
        <w:tc>
          <w:tcPr>
            <w:tcW w:w="1212" w:type="dxa"/>
            <w:shd w:val="clear" w:color="auto" w:fill="auto"/>
            <w:noWrap w:val="0"/>
            <w:vAlign w:val="center"/>
          </w:tcPr>
          <w:p w14:paraId="01C1E38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南厂界</w:t>
            </w:r>
          </w:p>
        </w:tc>
        <w:tc>
          <w:tcPr>
            <w:tcW w:w="1338" w:type="dxa"/>
            <w:shd w:val="clear" w:color="auto" w:fill="auto"/>
            <w:noWrap w:val="0"/>
            <w:vAlign w:val="center"/>
          </w:tcPr>
          <w:p w14:paraId="1FA0EFB9">
            <w:pPr>
              <w:rPr>
                <w:rFonts w:hint="eastAsia" w:ascii="宋体" w:hAnsi="宋体" w:eastAsia="宋体" w:cs="宋体"/>
                <w:color w:val="auto"/>
                <w:sz w:val="18"/>
                <w:szCs w:val="18"/>
              </w:rPr>
            </w:pPr>
            <w:r>
              <w:rPr>
                <w:rFonts w:hint="eastAsia" w:ascii="宋体" w:hAnsi="宋体" w:eastAsia="宋体" w:cs="宋体"/>
                <w:color w:val="auto"/>
                <w:sz w:val="18"/>
                <w:szCs w:val="18"/>
              </w:rPr>
              <w:t>等效声级，最大声级</w:t>
            </w:r>
          </w:p>
        </w:tc>
        <w:tc>
          <w:tcPr>
            <w:tcW w:w="1385" w:type="dxa"/>
            <w:shd w:val="clear" w:color="auto" w:fill="auto"/>
            <w:noWrap w:val="0"/>
            <w:vAlign w:val="center"/>
          </w:tcPr>
          <w:p w14:paraId="2276153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4ED1A10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昼夜各监测1次，监测1天</w:t>
            </w:r>
          </w:p>
        </w:tc>
        <w:tc>
          <w:tcPr>
            <w:tcW w:w="1149" w:type="dxa"/>
            <w:shd w:val="clear" w:color="auto" w:fill="auto"/>
            <w:noWrap w:val="0"/>
            <w:vAlign w:val="center"/>
          </w:tcPr>
          <w:p w14:paraId="1AA8A193">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工业企业厂界环境 噪声排放标准 GB 12348-2008</w:t>
            </w:r>
          </w:p>
        </w:tc>
        <w:tc>
          <w:tcPr>
            <w:tcW w:w="1065" w:type="dxa"/>
            <w:shd w:val="clear" w:color="auto" w:fill="auto"/>
            <w:noWrap w:val="0"/>
            <w:vAlign w:val="center"/>
          </w:tcPr>
          <w:p w14:paraId="3CAD7B3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昼间70dB（A），夜间55dB（A）</w:t>
            </w:r>
          </w:p>
        </w:tc>
      </w:tr>
      <w:tr w14:paraId="6D26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08C85520">
            <w:pPr>
              <w:rPr>
                <w:rFonts w:hint="eastAsia" w:ascii="宋体" w:hAnsi="宋体" w:eastAsia="宋体" w:cs="宋体"/>
                <w:color w:val="auto"/>
                <w:sz w:val="18"/>
                <w:szCs w:val="18"/>
              </w:rPr>
            </w:pPr>
            <w:r>
              <w:rPr>
                <w:rFonts w:hint="eastAsia" w:ascii="宋体" w:hAnsi="宋体" w:eastAsia="宋体" w:cs="宋体"/>
                <w:color w:val="auto"/>
                <w:sz w:val="18"/>
                <w:szCs w:val="18"/>
              </w:rPr>
              <w:t>9</w:t>
            </w:r>
          </w:p>
        </w:tc>
        <w:tc>
          <w:tcPr>
            <w:tcW w:w="484" w:type="dxa"/>
            <w:vMerge w:val="continue"/>
            <w:shd w:val="clear" w:color="auto" w:fill="auto"/>
            <w:noWrap w:val="0"/>
            <w:vAlign w:val="top"/>
          </w:tcPr>
          <w:p w14:paraId="267502A0">
            <w:pPr>
              <w:rPr>
                <w:rFonts w:hint="eastAsia" w:ascii="宋体" w:hAnsi="宋体" w:eastAsia="宋体" w:cs="宋体"/>
                <w:color w:val="auto"/>
                <w:sz w:val="18"/>
                <w:szCs w:val="18"/>
              </w:rPr>
            </w:pPr>
          </w:p>
        </w:tc>
        <w:tc>
          <w:tcPr>
            <w:tcW w:w="1212" w:type="dxa"/>
            <w:shd w:val="clear" w:color="auto" w:fill="auto"/>
            <w:noWrap w:val="0"/>
            <w:vAlign w:val="center"/>
          </w:tcPr>
          <w:p w14:paraId="07114B87">
            <w:pPr>
              <w:jc w:val="center"/>
              <w:rPr>
                <w:rFonts w:hint="eastAsia" w:ascii="宋体" w:hAnsi="宋体" w:eastAsia="宋体" w:cs="宋体"/>
                <w:color w:val="auto"/>
                <w:sz w:val="18"/>
                <w:szCs w:val="18"/>
              </w:rPr>
            </w:pPr>
            <w:r>
              <w:rPr>
                <w:rFonts w:hint="eastAsia" w:ascii="宋体" w:hAnsi="宋体" w:eastAsia="宋体" w:cs="宋体"/>
                <w:color w:val="auto"/>
                <w:sz w:val="18"/>
                <w:szCs w:val="18"/>
              </w:rPr>
              <w:t>西厂界</w:t>
            </w:r>
          </w:p>
        </w:tc>
        <w:tc>
          <w:tcPr>
            <w:tcW w:w="1338" w:type="dxa"/>
            <w:shd w:val="clear" w:color="auto" w:fill="auto"/>
            <w:noWrap w:val="0"/>
            <w:vAlign w:val="center"/>
          </w:tcPr>
          <w:p w14:paraId="0184C802">
            <w:pPr>
              <w:rPr>
                <w:rFonts w:hint="eastAsia" w:ascii="宋体" w:hAnsi="宋体" w:eastAsia="宋体" w:cs="宋体"/>
                <w:color w:val="auto"/>
                <w:sz w:val="18"/>
                <w:szCs w:val="18"/>
              </w:rPr>
            </w:pPr>
            <w:r>
              <w:rPr>
                <w:rFonts w:hint="eastAsia" w:ascii="宋体" w:hAnsi="宋体" w:eastAsia="宋体" w:cs="宋体"/>
                <w:color w:val="auto"/>
                <w:sz w:val="18"/>
                <w:szCs w:val="18"/>
              </w:rPr>
              <w:t>等效声级，最大声级</w:t>
            </w:r>
          </w:p>
        </w:tc>
        <w:tc>
          <w:tcPr>
            <w:tcW w:w="1385" w:type="dxa"/>
            <w:shd w:val="clear" w:color="auto" w:fill="auto"/>
            <w:noWrap w:val="0"/>
            <w:vAlign w:val="center"/>
          </w:tcPr>
          <w:p w14:paraId="312825AD">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3132A929">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昼夜各监测1次，监测1天</w:t>
            </w:r>
          </w:p>
        </w:tc>
        <w:tc>
          <w:tcPr>
            <w:tcW w:w="1149" w:type="dxa"/>
            <w:shd w:val="clear" w:color="auto" w:fill="auto"/>
            <w:noWrap w:val="0"/>
            <w:vAlign w:val="center"/>
          </w:tcPr>
          <w:p w14:paraId="6E1FCB2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工业企业厂界环境 噪声排放标准 GB 12348-2008</w:t>
            </w:r>
          </w:p>
        </w:tc>
        <w:tc>
          <w:tcPr>
            <w:tcW w:w="1065" w:type="dxa"/>
            <w:shd w:val="clear" w:color="auto" w:fill="auto"/>
            <w:noWrap w:val="0"/>
            <w:vAlign w:val="center"/>
          </w:tcPr>
          <w:p w14:paraId="7B6F16C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昼间70dB（A），夜间55dB（A）</w:t>
            </w:r>
          </w:p>
        </w:tc>
      </w:tr>
      <w:tr w14:paraId="38AA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70E6AD6D">
            <w:pP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484" w:type="dxa"/>
            <w:vMerge w:val="continue"/>
            <w:shd w:val="clear" w:color="auto" w:fill="auto"/>
            <w:noWrap w:val="0"/>
            <w:vAlign w:val="top"/>
          </w:tcPr>
          <w:p w14:paraId="6D18AAF5">
            <w:pPr>
              <w:rPr>
                <w:rFonts w:hint="eastAsia" w:ascii="宋体" w:hAnsi="宋体" w:eastAsia="宋体" w:cs="宋体"/>
                <w:color w:val="auto"/>
                <w:sz w:val="18"/>
                <w:szCs w:val="18"/>
              </w:rPr>
            </w:pPr>
          </w:p>
        </w:tc>
        <w:tc>
          <w:tcPr>
            <w:tcW w:w="1212" w:type="dxa"/>
            <w:shd w:val="clear" w:color="auto" w:fill="auto"/>
            <w:noWrap w:val="0"/>
            <w:vAlign w:val="center"/>
          </w:tcPr>
          <w:p w14:paraId="2A70FF1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东厂界</w:t>
            </w:r>
          </w:p>
        </w:tc>
        <w:tc>
          <w:tcPr>
            <w:tcW w:w="1338" w:type="dxa"/>
            <w:shd w:val="clear" w:color="auto" w:fill="auto"/>
            <w:noWrap w:val="0"/>
            <w:vAlign w:val="center"/>
          </w:tcPr>
          <w:p w14:paraId="7D30D366">
            <w:pPr>
              <w:rPr>
                <w:rFonts w:hint="eastAsia" w:ascii="宋体" w:hAnsi="宋体" w:eastAsia="宋体" w:cs="宋体"/>
                <w:color w:val="auto"/>
                <w:sz w:val="18"/>
                <w:szCs w:val="18"/>
              </w:rPr>
            </w:pPr>
            <w:r>
              <w:rPr>
                <w:rFonts w:hint="eastAsia" w:ascii="宋体" w:hAnsi="宋体" w:eastAsia="宋体" w:cs="宋体"/>
                <w:color w:val="auto"/>
                <w:sz w:val="18"/>
                <w:szCs w:val="18"/>
              </w:rPr>
              <w:t>等效声级，最大声级</w:t>
            </w:r>
          </w:p>
        </w:tc>
        <w:tc>
          <w:tcPr>
            <w:tcW w:w="1385" w:type="dxa"/>
            <w:shd w:val="clear" w:color="auto" w:fill="auto"/>
            <w:noWrap w:val="0"/>
            <w:vAlign w:val="center"/>
          </w:tcPr>
          <w:p w14:paraId="3F3AAE87">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5C6219D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昼夜各监测1次，监测1天</w:t>
            </w:r>
          </w:p>
        </w:tc>
        <w:tc>
          <w:tcPr>
            <w:tcW w:w="1149" w:type="dxa"/>
            <w:shd w:val="clear" w:color="auto" w:fill="auto"/>
            <w:noWrap w:val="0"/>
            <w:vAlign w:val="center"/>
          </w:tcPr>
          <w:p w14:paraId="1A7476E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工业企业厂界环境 噪声排放标准 GB 12348-2008</w:t>
            </w:r>
          </w:p>
        </w:tc>
        <w:tc>
          <w:tcPr>
            <w:tcW w:w="1065" w:type="dxa"/>
            <w:shd w:val="clear" w:color="auto" w:fill="auto"/>
            <w:noWrap w:val="0"/>
            <w:vAlign w:val="center"/>
          </w:tcPr>
          <w:p w14:paraId="115BF82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昼间60dB（A），夜间50dB（A）</w:t>
            </w:r>
          </w:p>
        </w:tc>
      </w:tr>
      <w:tr w14:paraId="7F1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noWrap w:val="0"/>
            <w:vAlign w:val="top"/>
          </w:tcPr>
          <w:p w14:paraId="46CBB687">
            <w:pPr>
              <w:rPr>
                <w:rFonts w:hint="eastAsia" w:ascii="宋体" w:hAnsi="宋体" w:eastAsia="宋体" w:cs="宋体"/>
                <w:color w:val="auto"/>
                <w:sz w:val="18"/>
                <w:szCs w:val="18"/>
              </w:rPr>
            </w:pPr>
            <w:r>
              <w:rPr>
                <w:rFonts w:hint="eastAsia" w:ascii="宋体" w:hAnsi="宋体" w:eastAsia="宋体" w:cs="宋体"/>
                <w:color w:val="auto"/>
                <w:sz w:val="18"/>
                <w:szCs w:val="18"/>
              </w:rPr>
              <w:t>11</w:t>
            </w:r>
          </w:p>
        </w:tc>
        <w:tc>
          <w:tcPr>
            <w:tcW w:w="484" w:type="dxa"/>
            <w:vMerge w:val="continue"/>
            <w:shd w:val="clear" w:color="auto" w:fill="auto"/>
            <w:noWrap w:val="0"/>
            <w:vAlign w:val="top"/>
          </w:tcPr>
          <w:p w14:paraId="60328809">
            <w:pPr>
              <w:rPr>
                <w:rFonts w:hint="eastAsia" w:ascii="宋体" w:hAnsi="宋体" w:eastAsia="宋体" w:cs="宋体"/>
                <w:color w:val="auto"/>
                <w:sz w:val="18"/>
                <w:szCs w:val="18"/>
              </w:rPr>
            </w:pPr>
          </w:p>
        </w:tc>
        <w:tc>
          <w:tcPr>
            <w:tcW w:w="1212" w:type="dxa"/>
            <w:shd w:val="clear" w:color="auto" w:fill="auto"/>
            <w:noWrap w:val="0"/>
            <w:vAlign w:val="center"/>
          </w:tcPr>
          <w:p w14:paraId="3D71638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北厂界</w:t>
            </w:r>
          </w:p>
        </w:tc>
        <w:tc>
          <w:tcPr>
            <w:tcW w:w="1338" w:type="dxa"/>
            <w:shd w:val="clear" w:color="auto" w:fill="auto"/>
            <w:noWrap w:val="0"/>
            <w:vAlign w:val="center"/>
          </w:tcPr>
          <w:p w14:paraId="6B4DC7FD">
            <w:pPr>
              <w:rPr>
                <w:rFonts w:hint="eastAsia" w:ascii="宋体" w:hAnsi="宋体" w:eastAsia="宋体" w:cs="宋体"/>
                <w:color w:val="auto"/>
                <w:sz w:val="18"/>
                <w:szCs w:val="18"/>
              </w:rPr>
            </w:pPr>
            <w:r>
              <w:rPr>
                <w:rFonts w:hint="eastAsia" w:ascii="宋体" w:hAnsi="宋体" w:eastAsia="宋体" w:cs="宋体"/>
                <w:color w:val="auto"/>
                <w:sz w:val="18"/>
                <w:szCs w:val="18"/>
              </w:rPr>
              <w:t>等效声级，最大声级</w:t>
            </w:r>
          </w:p>
        </w:tc>
        <w:tc>
          <w:tcPr>
            <w:tcW w:w="1385" w:type="dxa"/>
            <w:shd w:val="clear" w:color="auto" w:fill="auto"/>
            <w:noWrap w:val="0"/>
            <w:vAlign w:val="center"/>
          </w:tcPr>
          <w:p w14:paraId="6E822F7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1次/季度</w:t>
            </w:r>
          </w:p>
        </w:tc>
        <w:tc>
          <w:tcPr>
            <w:tcW w:w="1620" w:type="dxa"/>
            <w:shd w:val="clear" w:color="auto" w:fill="auto"/>
            <w:noWrap w:val="0"/>
            <w:vAlign w:val="center"/>
          </w:tcPr>
          <w:p w14:paraId="1A2AA67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昼夜各监测1次，监测1天</w:t>
            </w:r>
          </w:p>
        </w:tc>
        <w:tc>
          <w:tcPr>
            <w:tcW w:w="1149" w:type="dxa"/>
            <w:shd w:val="clear" w:color="auto" w:fill="auto"/>
            <w:noWrap w:val="0"/>
            <w:vAlign w:val="center"/>
          </w:tcPr>
          <w:p w14:paraId="2DDB519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工业企业厂界环境 噪声排放标准 GB 12348-2008</w:t>
            </w:r>
          </w:p>
        </w:tc>
        <w:tc>
          <w:tcPr>
            <w:tcW w:w="1065" w:type="dxa"/>
            <w:shd w:val="clear" w:color="auto" w:fill="auto"/>
            <w:noWrap w:val="0"/>
            <w:vAlign w:val="center"/>
          </w:tcPr>
          <w:p w14:paraId="2B2BCC6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昼间60dB（A），夜间50dB（A）</w:t>
            </w:r>
          </w:p>
        </w:tc>
      </w:tr>
    </w:tbl>
    <w:p w14:paraId="4696A137">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 xml:space="preserve">    备注：污水处理站废气排放口执行《恶臭污染物排放标准》（GB14554-93）；锅炉废气排放口执行《锅炉大气污染物排放标准》（DB50/658-2016）及其修改单；南厂界和西厂界噪声执行《工业企业厂界环境噪声排放标准》（GB 12348-2008）4类，东厂界和北厂界噪声执行《工业企业厂界环境噪声排放标准》（GB 12348-2008）2类。</w:t>
      </w:r>
    </w:p>
    <w:p w14:paraId="1567B5ED">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2.报告提交：按月监测的项目，报告须在当月底前提交；按季度监测的项目，报告须在该季度末前提交。检测报告通过快递送达或现场递交给采购方指定人员。</w:t>
      </w:r>
    </w:p>
    <w:p w14:paraId="0F4C7793">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3.安全须知：在服务过程中，服务方应采取有效的安全措施，保证工作人员和其他人员的人身安全，并承担因安全事故导致的一切经济和法律责任。如有损坏财产须照价赔偿。</w:t>
      </w:r>
    </w:p>
    <w:p w14:paraId="253AF7E8">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4.其他要求：监测频率和次数根据实际情况增减，如遇特殊情况，服务方应在收到采购方通知后按采购方要求及时到达指定地点进行采样并及时出具报告。服务方开展的各项工作须符合国家相关规范、标准等。</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1C116F52">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1.合同期限：2026年6月-2027年6月，具体服务时间以采购方电话通知为准。</w:t>
      </w:r>
    </w:p>
    <w:p w14:paraId="151CC300">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2.报价要求：各项报价为包干价（报价表见附件），包含服务费、差旅费、住宿费、保险费、税费等各项费用。</w:t>
      </w:r>
    </w:p>
    <w:p w14:paraId="32B53EF5">
      <w:pPr>
        <w:snapToGrid w:val="0"/>
        <w:spacing w:line="520" w:lineRule="exact"/>
        <w:ind w:firstLine="420" w:firstLineChars="20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3.付款方式：服务方按时完成监测工作并出具正式的监测报告，经采购方收到并验收合格后，采购方根据监测次数和项目每半年据实结算一次费用。结算时采购方凭服务方提供的监测报告及正式发票于60日内转账支付结算费用。</w:t>
      </w:r>
    </w:p>
    <w:p w14:paraId="5A480746">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68FD105A">
      <w:pPr>
        <w:spacing w:line="400" w:lineRule="exact"/>
        <w:rPr>
          <w:rFonts w:hint="eastAsia" w:ascii="楷体" w:hAnsi="楷体" w:eastAsia="楷体" w:cs="楷体"/>
          <w:b/>
          <w:kern w:val="0"/>
          <w:sz w:val="24"/>
          <w:szCs w:val="24"/>
        </w:rPr>
      </w:pPr>
    </w:p>
    <w:p w14:paraId="205C3A8A">
      <w:pPr>
        <w:spacing w:line="400" w:lineRule="exact"/>
        <w:rPr>
          <w:rFonts w:hint="eastAsia" w:ascii="楷体" w:hAnsi="楷体" w:eastAsia="楷体" w:cs="楷体"/>
          <w:b/>
          <w:kern w:val="0"/>
          <w:sz w:val="24"/>
          <w:szCs w:val="24"/>
        </w:rPr>
      </w:pPr>
    </w:p>
    <w:p w14:paraId="6AB880CE">
      <w:pPr>
        <w:spacing w:line="400" w:lineRule="exact"/>
        <w:rPr>
          <w:rFonts w:hint="eastAsia" w:ascii="楷体" w:hAnsi="楷体" w:eastAsia="楷体" w:cs="楷体"/>
          <w:b/>
          <w:kern w:val="0"/>
          <w:sz w:val="24"/>
          <w:szCs w:val="24"/>
        </w:rPr>
      </w:pPr>
    </w:p>
    <w:p w14:paraId="733B1D42">
      <w:pPr>
        <w:spacing w:line="400" w:lineRule="exact"/>
        <w:rPr>
          <w:rFonts w:hint="eastAsia" w:ascii="楷体" w:hAnsi="楷体" w:eastAsia="楷体" w:cs="楷体"/>
          <w:b/>
          <w:kern w:val="0"/>
          <w:sz w:val="24"/>
          <w:szCs w:val="24"/>
        </w:rPr>
      </w:pPr>
    </w:p>
    <w:p w14:paraId="32DE2038">
      <w:pPr>
        <w:spacing w:line="400" w:lineRule="exact"/>
        <w:rPr>
          <w:rFonts w:hint="eastAsia" w:ascii="楷体" w:hAnsi="楷体" w:eastAsia="楷体" w:cs="楷体"/>
          <w:b/>
          <w:kern w:val="0"/>
          <w:sz w:val="24"/>
          <w:szCs w:val="24"/>
        </w:rPr>
      </w:pPr>
    </w:p>
    <w:p w14:paraId="56B95BB4">
      <w:pPr>
        <w:spacing w:line="400" w:lineRule="exact"/>
        <w:rPr>
          <w:rFonts w:hint="eastAsia" w:ascii="楷体" w:hAnsi="楷体" w:eastAsia="楷体" w:cs="楷体"/>
          <w:b/>
          <w:kern w:val="0"/>
          <w:sz w:val="24"/>
          <w:szCs w:val="24"/>
        </w:rPr>
      </w:pPr>
    </w:p>
    <w:p w14:paraId="4B8F0887">
      <w:pPr>
        <w:spacing w:line="400" w:lineRule="exact"/>
        <w:rPr>
          <w:rFonts w:hint="eastAsia" w:ascii="楷体" w:hAnsi="楷体" w:eastAsia="楷体" w:cs="楷体"/>
          <w:b/>
          <w:kern w:val="0"/>
          <w:sz w:val="24"/>
          <w:szCs w:val="24"/>
        </w:rPr>
      </w:pPr>
    </w:p>
    <w:p w14:paraId="146DFAC5">
      <w:pPr>
        <w:spacing w:line="400" w:lineRule="exact"/>
        <w:rPr>
          <w:rFonts w:hint="eastAsia" w:ascii="楷体" w:hAnsi="楷体" w:eastAsia="楷体" w:cs="楷体"/>
          <w:b/>
          <w:kern w:val="0"/>
          <w:sz w:val="24"/>
          <w:szCs w:val="24"/>
        </w:rPr>
      </w:pPr>
    </w:p>
    <w:p w14:paraId="3D9AE0C9">
      <w:pPr>
        <w:spacing w:line="400" w:lineRule="exact"/>
        <w:rPr>
          <w:rFonts w:hint="eastAsia" w:ascii="楷体" w:hAnsi="楷体" w:eastAsia="楷体" w:cs="楷体"/>
          <w:b/>
          <w:kern w:val="0"/>
          <w:sz w:val="24"/>
          <w:szCs w:val="24"/>
        </w:rPr>
      </w:pPr>
    </w:p>
    <w:p w14:paraId="7B7D2291">
      <w:pPr>
        <w:spacing w:line="400" w:lineRule="exact"/>
        <w:rPr>
          <w:rFonts w:hint="eastAsia" w:ascii="楷体" w:hAnsi="楷体" w:eastAsia="楷体" w:cs="楷体"/>
          <w:b/>
          <w:kern w:val="0"/>
          <w:sz w:val="24"/>
          <w:szCs w:val="24"/>
        </w:rPr>
      </w:pPr>
    </w:p>
    <w:p w14:paraId="73666B9C">
      <w:pPr>
        <w:spacing w:line="400" w:lineRule="exact"/>
        <w:rPr>
          <w:rFonts w:hint="eastAsia" w:ascii="楷体" w:hAnsi="楷体" w:eastAsia="楷体" w:cs="楷体"/>
          <w:b/>
          <w:kern w:val="0"/>
          <w:sz w:val="24"/>
          <w:szCs w:val="24"/>
        </w:rPr>
      </w:pPr>
    </w:p>
    <w:p w14:paraId="1A631957">
      <w:pPr>
        <w:spacing w:line="400" w:lineRule="exact"/>
        <w:rPr>
          <w:rFonts w:hint="eastAsia" w:ascii="楷体" w:hAnsi="楷体" w:eastAsia="楷体" w:cs="楷体"/>
          <w:b/>
          <w:kern w:val="0"/>
          <w:sz w:val="24"/>
          <w:szCs w:val="24"/>
        </w:rPr>
      </w:pPr>
    </w:p>
    <w:p w14:paraId="7DCED2A0">
      <w:pPr>
        <w:spacing w:line="400" w:lineRule="exact"/>
        <w:rPr>
          <w:rFonts w:hint="eastAsia" w:ascii="楷体" w:hAnsi="楷体" w:eastAsia="楷体" w:cs="楷体"/>
          <w:b/>
          <w:kern w:val="0"/>
          <w:sz w:val="24"/>
          <w:szCs w:val="24"/>
        </w:rPr>
      </w:pPr>
    </w:p>
    <w:p w14:paraId="67E0F0F8">
      <w:pPr>
        <w:spacing w:line="400" w:lineRule="exact"/>
        <w:rPr>
          <w:rFonts w:hint="eastAsia" w:ascii="楷体" w:hAnsi="楷体" w:eastAsia="楷体" w:cs="楷体"/>
          <w:b/>
          <w:kern w:val="0"/>
          <w:sz w:val="24"/>
          <w:szCs w:val="24"/>
        </w:rPr>
      </w:pPr>
    </w:p>
    <w:p w14:paraId="7DE31836">
      <w:pPr>
        <w:spacing w:line="400" w:lineRule="exact"/>
        <w:rPr>
          <w:rFonts w:hint="eastAsia" w:ascii="楷体" w:hAnsi="楷体" w:eastAsia="楷体" w:cs="楷体"/>
          <w:b/>
          <w:kern w:val="0"/>
          <w:sz w:val="24"/>
          <w:szCs w:val="24"/>
        </w:rPr>
      </w:pPr>
    </w:p>
    <w:p w14:paraId="587384C1">
      <w:pPr>
        <w:spacing w:line="400" w:lineRule="exact"/>
        <w:rPr>
          <w:rFonts w:hint="eastAsia" w:ascii="楷体" w:hAnsi="楷体" w:eastAsia="楷体" w:cs="楷体"/>
          <w:b/>
          <w:kern w:val="0"/>
          <w:sz w:val="24"/>
          <w:szCs w:val="24"/>
        </w:rPr>
      </w:pPr>
    </w:p>
    <w:p w14:paraId="2B35A06E">
      <w:pPr>
        <w:spacing w:line="400" w:lineRule="exact"/>
        <w:rPr>
          <w:rFonts w:hint="eastAsia" w:ascii="楷体" w:hAnsi="楷体" w:eastAsia="楷体" w:cs="楷体"/>
          <w:b/>
          <w:kern w:val="0"/>
          <w:sz w:val="24"/>
          <w:szCs w:val="24"/>
        </w:rPr>
      </w:pPr>
    </w:p>
    <w:p w14:paraId="6B39C8C0">
      <w:pPr>
        <w:spacing w:line="400" w:lineRule="exact"/>
        <w:rPr>
          <w:rFonts w:hint="eastAsia" w:ascii="楷体" w:hAnsi="楷体" w:eastAsia="楷体" w:cs="楷体"/>
          <w:b/>
          <w:kern w:val="0"/>
          <w:sz w:val="24"/>
          <w:szCs w:val="24"/>
        </w:rPr>
      </w:pPr>
    </w:p>
    <w:p w14:paraId="09696CE3">
      <w:pPr>
        <w:spacing w:line="400" w:lineRule="exact"/>
        <w:rPr>
          <w:rFonts w:hint="eastAsia" w:ascii="楷体" w:hAnsi="楷体" w:eastAsia="楷体" w:cs="楷体"/>
          <w:b/>
          <w:kern w:val="0"/>
          <w:sz w:val="24"/>
          <w:szCs w:val="24"/>
        </w:rPr>
      </w:pPr>
    </w:p>
    <w:p w14:paraId="62462682">
      <w:pPr>
        <w:spacing w:line="400" w:lineRule="exact"/>
        <w:rPr>
          <w:rFonts w:hint="eastAsia" w:ascii="楷体" w:hAnsi="楷体" w:eastAsia="楷体" w:cs="楷体"/>
          <w:b/>
          <w:kern w:val="0"/>
          <w:sz w:val="24"/>
          <w:szCs w:val="24"/>
        </w:rPr>
      </w:pPr>
    </w:p>
    <w:p w14:paraId="2EB2432B">
      <w:pPr>
        <w:spacing w:line="400" w:lineRule="exact"/>
        <w:rPr>
          <w:rFonts w:hint="eastAsia" w:ascii="楷体" w:hAnsi="楷体" w:eastAsia="楷体" w:cs="楷体"/>
          <w:b/>
          <w:kern w:val="0"/>
          <w:sz w:val="24"/>
          <w:szCs w:val="24"/>
        </w:rPr>
      </w:pPr>
    </w:p>
    <w:p w14:paraId="622A1268">
      <w:pPr>
        <w:spacing w:line="400" w:lineRule="exact"/>
        <w:rPr>
          <w:rFonts w:hint="eastAsia" w:ascii="楷体" w:hAnsi="楷体" w:eastAsia="楷体" w:cs="楷体"/>
          <w:b/>
          <w:kern w:val="0"/>
          <w:sz w:val="24"/>
          <w:szCs w:val="24"/>
        </w:rPr>
      </w:pPr>
    </w:p>
    <w:p w14:paraId="2D5766E5">
      <w:pPr>
        <w:spacing w:line="400" w:lineRule="exact"/>
        <w:rPr>
          <w:rFonts w:hint="eastAsia" w:ascii="楷体" w:hAnsi="楷体" w:eastAsia="楷体" w:cs="楷体"/>
          <w:b/>
          <w:kern w:val="0"/>
          <w:sz w:val="24"/>
          <w:szCs w:val="24"/>
        </w:rPr>
      </w:pPr>
    </w:p>
    <w:p w14:paraId="4725AAA7">
      <w:pPr>
        <w:spacing w:line="400" w:lineRule="exact"/>
        <w:rPr>
          <w:rFonts w:hint="eastAsia" w:ascii="楷体" w:hAnsi="楷体" w:eastAsia="楷体" w:cs="楷体"/>
          <w:b/>
          <w:kern w:val="0"/>
          <w:sz w:val="24"/>
          <w:szCs w:val="24"/>
        </w:rPr>
      </w:pPr>
    </w:p>
    <w:p w14:paraId="58B22903">
      <w:pPr>
        <w:spacing w:line="400" w:lineRule="exact"/>
        <w:rPr>
          <w:rFonts w:hint="eastAsia" w:ascii="楷体" w:hAnsi="楷体" w:eastAsia="楷体" w:cs="楷体"/>
          <w:b/>
          <w:kern w:val="0"/>
          <w:sz w:val="24"/>
          <w:szCs w:val="24"/>
        </w:rPr>
      </w:pPr>
    </w:p>
    <w:p w14:paraId="4C5DE1BE">
      <w:pPr>
        <w:spacing w:line="400" w:lineRule="exact"/>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eastAsia="zh-CN"/>
        </w:rPr>
        <w:t>附件</w:t>
      </w:r>
      <w:r>
        <w:rPr>
          <w:rFonts w:hint="eastAsia" w:ascii="楷体" w:hAnsi="楷体" w:eastAsia="楷体" w:cs="楷体"/>
          <w:b/>
          <w:kern w:val="0"/>
          <w:sz w:val="24"/>
          <w:szCs w:val="24"/>
          <w:lang w:val="en-US" w:eastAsia="zh-CN"/>
        </w:rPr>
        <w:t>1：</w:t>
      </w:r>
    </w:p>
    <w:p w14:paraId="533974F9">
      <w:pPr>
        <w:spacing w:line="594" w:lineRule="exact"/>
        <w:ind w:right="561"/>
        <w:jc w:val="center"/>
        <w:rPr>
          <w:rFonts w:hint="eastAsia" w:ascii="方正仿宋_GBK" w:hAnsi="宋体" w:eastAsia="方正仿宋_GBK"/>
          <w:sz w:val="28"/>
          <w:szCs w:val="28"/>
        </w:rPr>
      </w:pPr>
      <w:r>
        <w:rPr>
          <w:rFonts w:hint="eastAsia" w:ascii="方正仿宋_GBK" w:hAnsi="宋体" w:eastAsia="方正仿宋_GBK"/>
          <w:sz w:val="28"/>
          <w:szCs w:val="28"/>
        </w:rPr>
        <w:t>报价表</w:t>
      </w:r>
    </w:p>
    <w:tbl>
      <w:tblPr>
        <w:tblStyle w:val="11"/>
        <w:tblW w:w="9070" w:type="dxa"/>
        <w:jc w:val="center"/>
        <w:tblLayout w:type="fixed"/>
        <w:tblCellMar>
          <w:top w:w="0" w:type="dxa"/>
          <w:left w:w="108" w:type="dxa"/>
          <w:bottom w:w="0" w:type="dxa"/>
          <w:right w:w="108" w:type="dxa"/>
        </w:tblCellMar>
      </w:tblPr>
      <w:tblGrid>
        <w:gridCol w:w="773"/>
        <w:gridCol w:w="1685"/>
        <w:gridCol w:w="1395"/>
        <w:gridCol w:w="1251"/>
        <w:gridCol w:w="1275"/>
        <w:gridCol w:w="1418"/>
        <w:gridCol w:w="1273"/>
      </w:tblGrid>
      <w:tr w14:paraId="586630BF">
        <w:tblPrEx>
          <w:tblCellMar>
            <w:top w:w="0" w:type="dxa"/>
            <w:left w:w="108" w:type="dxa"/>
            <w:bottom w:w="0" w:type="dxa"/>
            <w:right w:w="108" w:type="dxa"/>
          </w:tblCellMar>
        </w:tblPrEx>
        <w:trPr>
          <w:trHeight w:val="1144" w:hRule="exac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4E8663B">
            <w:pPr>
              <w:widowControl/>
              <w:jc w:val="center"/>
              <w:rPr>
                <w:rFonts w:eastAsia="方正仿宋_GBK"/>
                <w:kern w:val="0"/>
                <w:sz w:val="24"/>
              </w:rPr>
            </w:pPr>
            <w:r>
              <w:rPr>
                <w:rFonts w:eastAsia="方正仿宋_GBK"/>
                <w:kern w:val="0"/>
                <w:sz w:val="24"/>
              </w:rPr>
              <w:t>序号</w:t>
            </w:r>
          </w:p>
        </w:tc>
        <w:tc>
          <w:tcPr>
            <w:tcW w:w="1685" w:type="dxa"/>
            <w:tcBorders>
              <w:top w:val="single" w:color="auto" w:sz="4" w:space="0"/>
              <w:left w:val="nil"/>
              <w:bottom w:val="single" w:color="auto" w:sz="4" w:space="0"/>
              <w:right w:val="single" w:color="auto" w:sz="4" w:space="0"/>
            </w:tcBorders>
            <w:noWrap/>
            <w:vAlign w:val="center"/>
          </w:tcPr>
          <w:p w14:paraId="6BDC076A">
            <w:pPr>
              <w:widowControl/>
              <w:jc w:val="center"/>
              <w:rPr>
                <w:rFonts w:hint="eastAsia" w:eastAsia="方正仿宋_GBK"/>
                <w:kern w:val="0"/>
                <w:sz w:val="24"/>
              </w:rPr>
            </w:pPr>
            <w:r>
              <w:rPr>
                <w:rFonts w:hint="eastAsia" w:eastAsia="方正仿宋_GBK"/>
                <w:kern w:val="0"/>
                <w:sz w:val="24"/>
              </w:rPr>
              <w:t>监测项目</w:t>
            </w:r>
          </w:p>
        </w:tc>
        <w:tc>
          <w:tcPr>
            <w:tcW w:w="1395" w:type="dxa"/>
            <w:tcBorders>
              <w:top w:val="single" w:color="auto" w:sz="4" w:space="0"/>
              <w:left w:val="nil"/>
              <w:bottom w:val="single" w:color="auto" w:sz="4" w:space="0"/>
              <w:right w:val="single" w:color="auto" w:sz="4" w:space="0"/>
            </w:tcBorders>
            <w:noWrap w:val="0"/>
            <w:vAlign w:val="center"/>
          </w:tcPr>
          <w:p w14:paraId="6FB1EDEA">
            <w:pPr>
              <w:widowControl/>
              <w:spacing w:line="300" w:lineRule="exact"/>
              <w:jc w:val="center"/>
              <w:rPr>
                <w:rFonts w:eastAsia="方正仿宋_GBK"/>
                <w:kern w:val="0"/>
                <w:sz w:val="24"/>
              </w:rPr>
            </w:pPr>
            <w:r>
              <w:rPr>
                <w:rFonts w:hint="eastAsia" w:eastAsia="方正仿宋_GBK"/>
                <w:kern w:val="0"/>
                <w:sz w:val="24"/>
              </w:rPr>
              <w:t>监测频率</w:t>
            </w:r>
          </w:p>
        </w:tc>
        <w:tc>
          <w:tcPr>
            <w:tcW w:w="1251" w:type="dxa"/>
            <w:tcBorders>
              <w:top w:val="single" w:color="auto" w:sz="4" w:space="0"/>
              <w:left w:val="nil"/>
              <w:bottom w:val="single" w:color="auto" w:sz="4" w:space="0"/>
              <w:right w:val="single" w:color="auto" w:sz="4" w:space="0"/>
            </w:tcBorders>
            <w:noWrap/>
            <w:vAlign w:val="center"/>
          </w:tcPr>
          <w:p w14:paraId="1EA30A44">
            <w:pPr>
              <w:widowControl/>
              <w:spacing w:line="300" w:lineRule="exact"/>
              <w:jc w:val="center"/>
              <w:rPr>
                <w:rFonts w:eastAsia="方正仿宋_GBK"/>
                <w:kern w:val="0"/>
                <w:sz w:val="24"/>
              </w:rPr>
            </w:pPr>
            <w:r>
              <w:rPr>
                <w:rFonts w:hint="eastAsia" w:eastAsia="方正仿宋_GBK"/>
                <w:kern w:val="0"/>
                <w:sz w:val="24"/>
              </w:rPr>
              <w:t>监测</w:t>
            </w:r>
            <w:r>
              <w:rPr>
                <w:rFonts w:eastAsia="方正仿宋_GBK"/>
                <w:kern w:val="0"/>
                <w:sz w:val="24"/>
              </w:rPr>
              <w:t>次数</w:t>
            </w:r>
          </w:p>
        </w:tc>
        <w:tc>
          <w:tcPr>
            <w:tcW w:w="1275" w:type="dxa"/>
            <w:tcBorders>
              <w:top w:val="single" w:color="auto" w:sz="4" w:space="0"/>
              <w:left w:val="nil"/>
              <w:bottom w:val="single" w:color="auto" w:sz="4" w:space="0"/>
              <w:right w:val="single" w:color="auto" w:sz="4" w:space="0"/>
            </w:tcBorders>
            <w:noWrap w:val="0"/>
            <w:vAlign w:val="center"/>
          </w:tcPr>
          <w:p w14:paraId="41FBB195">
            <w:pPr>
              <w:widowControl/>
              <w:spacing w:line="300" w:lineRule="exact"/>
              <w:jc w:val="center"/>
              <w:rPr>
                <w:rFonts w:hint="eastAsia" w:eastAsia="方正仿宋_GBK"/>
                <w:kern w:val="0"/>
                <w:sz w:val="24"/>
              </w:rPr>
            </w:pPr>
            <w:r>
              <w:rPr>
                <w:rFonts w:eastAsia="方正仿宋_GBK"/>
                <w:kern w:val="0"/>
                <w:sz w:val="24"/>
              </w:rPr>
              <w:t>单价（元）</w:t>
            </w:r>
          </w:p>
        </w:tc>
        <w:tc>
          <w:tcPr>
            <w:tcW w:w="1418" w:type="dxa"/>
            <w:tcBorders>
              <w:top w:val="single" w:color="auto" w:sz="4" w:space="0"/>
              <w:left w:val="single" w:color="auto" w:sz="4" w:space="0"/>
              <w:bottom w:val="single" w:color="auto" w:sz="4" w:space="0"/>
              <w:right w:val="single" w:color="auto" w:sz="4" w:space="0"/>
            </w:tcBorders>
            <w:noWrap/>
            <w:vAlign w:val="center"/>
          </w:tcPr>
          <w:p w14:paraId="26B62923">
            <w:pPr>
              <w:widowControl/>
              <w:spacing w:line="300" w:lineRule="exact"/>
              <w:jc w:val="center"/>
              <w:rPr>
                <w:rFonts w:hint="eastAsia" w:eastAsia="方正仿宋_GBK"/>
                <w:kern w:val="0"/>
                <w:sz w:val="24"/>
              </w:rPr>
            </w:pPr>
            <w:r>
              <w:rPr>
                <w:rFonts w:hint="eastAsia" w:eastAsia="方正仿宋_GBK"/>
                <w:kern w:val="0"/>
                <w:sz w:val="24"/>
              </w:rPr>
              <w:t>小计（元）</w:t>
            </w:r>
          </w:p>
        </w:tc>
        <w:tc>
          <w:tcPr>
            <w:tcW w:w="1273" w:type="dxa"/>
            <w:tcBorders>
              <w:top w:val="single" w:color="auto" w:sz="4" w:space="0"/>
              <w:left w:val="nil"/>
              <w:bottom w:val="single" w:color="auto" w:sz="4" w:space="0"/>
              <w:right w:val="single" w:color="auto" w:sz="4" w:space="0"/>
            </w:tcBorders>
            <w:noWrap/>
            <w:vAlign w:val="center"/>
          </w:tcPr>
          <w:p w14:paraId="684E808E">
            <w:pPr>
              <w:widowControl/>
              <w:spacing w:line="300" w:lineRule="exact"/>
              <w:jc w:val="center"/>
              <w:rPr>
                <w:rFonts w:hint="eastAsia" w:eastAsia="方正仿宋_GBK"/>
                <w:kern w:val="0"/>
                <w:sz w:val="24"/>
              </w:rPr>
            </w:pPr>
            <w:r>
              <w:rPr>
                <w:rFonts w:hint="eastAsia" w:eastAsia="方正仿宋_GBK"/>
                <w:kern w:val="0"/>
                <w:sz w:val="24"/>
              </w:rPr>
              <w:t>备注</w:t>
            </w:r>
          </w:p>
        </w:tc>
      </w:tr>
      <w:tr w14:paraId="2A3E9EB2">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7A0ABE9E">
            <w:pPr>
              <w:widowControl/>
              <w:jc w:val="center"/>
              <w:rPr>
                <w:rFonts w:eastAsia="方正仿宋_GBK"/>
                <w:kern w:val="0"/>
                <w:sz w:val="24"/>
              </w:rPr>
            </w:pPr>
            <w:r>
              <w:rPr>
                <w:rFonts w:eastAsia="方正仿宋_GBK"/>
                <w:kern w:val="0"/>
                <w:sz w:val="24"/>
              </w:rPr>
              <w:t>1</w:t>
            </w:r>
          </w:p>
        </w:tc>
        <w:tc>
          <w:tcPr>
            <w:tcW w:w="1685" w:type="dxa"/>
            <w:tcBorders>
              <w:top w:val="nil"/>
              <w:left w:val="nil"/>
              <w:bottom w:val="single" w:color="auto" w:sz="4" w:space="0"/>
              <w:right w:val="single" w:color="auto" w:sz="4" w:space="0"/>
            </w:tcBorders>
            <w:noWrap/>
            <w:vAlign w:val="center"/>
          </w:tcPr>
          <w:p w14:paraId="70C83B42">
            <w:pPr>
              <w:widowControl/>
              <w:jc w:val="center"/>
              <w:rPr>
                <w:rFonts w:hint="eastAsia" w:eastAsia="方正仿宋_GBK"/>
                <w:kern w:val="0"/>
                <w:sz w:val="24"/>
              </w:rPr>
            </w:pPr>
            <w:r>
              <w:rPr>
                <w:rFonts w:hint="eastAsia" w:eastAsia="方正仿宋_GBK"/>
                <w:kern w:val="0"/>
                <w:sz w:val="24"/>
              </w:rPr>
              <w:t>臭气浓度</w:t>
            </w:r>
          </w:p>
        </w:tc>
        <w:tc>
          <w:tcPr>
            <w:tcW w:w="1395" w:type="dxa"/>
            <w:tcBorders>
              <w:top w:val="nil"/>
              <w:left w:val="nil"/>
              <w:bottom w:val="single" w:color="auto" w:sz="4" w:space="0"/>
              <w:right w:val="single" w:color="auto" w:sz="4" w:space="0"/>
            </w:tcBorders>
            <w:noWrap w:val="0"/>
            <w:vAlign w:val="center"/>
          </w:tcPr>
          <w:p w14:paraId="3239E194">
            <w:pPr>
              <w:widowControl/>
              <w:jc w:val="center"/>
              <w:rPr>
                <w:rFonts w:hint="eastAsia" w:eastAsia="方正仿宋_GBK"/>
                <w:kern w:val="0"/>
                <w:sz w:val="24"/>
              </w:rPr>
            </w:pPr>
            <w:r>
              <w:rPr>
                <w:rFonts w:eastAsia="方正仿宋_GBK"/>
                <w:kern w:val="0"/>
                <w:sz w:val="24"/>
              </w:rPr>
              <w:t>1次/</w:t>
            </w:r>
            <w:r>
              <w:rPr>
                <w:rFonts w:hint="eastAsia" w:eastAsia="方正仿宋_GBK"/>
                <w:kern w:val="0"/>
                <w:sz w:val="24"/>
              </w:rPr>
              <w:t>季度</w:t>
            </w:r>
          </w:p>
        </w:tc>
        <w:tc>
          <w:tcPr>
            <w:tcW w:w="1251" w:type="dxa"/>
            <w:tcBorders>
              <w:top w:val="nil"/>
              <w:left w:val="nil"/>
              <w:bottom w:val="single" w:color="auto" w:sz="4" w:space="0"/>
              <w:right w:val="single" w:color="auto" w:sz="4" w:space="0"/>
            </w:tcBorders>
            <w:noWrap/>
            <w:vAlign w:val="center"/>
          </w:tcPr>
          <w:p w14:paraId="5604731D">
            <w:pPr>
              <w:widowControl/>
              <w:jc w:val="center"/>
              <w:rPr>
                <w:rFonts w:hint="eastAsia" w:eastAsia="方正仿宋_GBK"/>
                <w:kern w:val="0"/>
                <w:sz w:val="24"/>
              </w:rPr>
            </w:pPr>
            <w:r>
              <w:rPr>
                <w:rFonts w:hint="eastAsia" w:eastAsia="方正仿宋_GBK"/>
                <w:kern w:val="0"/>
                <w:sz w:val="24"/>
              </w:rPr>
              <w:t>5</w:t>
            </w:r>
          </w:p>
        </w:tc>
        <w:tc>
          <w:tcPr>
            <w:tcW w:w="1275" w:type="dxa"/>
            <w:tcBorders>
              <w:top w:val="single" w:color="auto" w:sz="4" w:space="0"/>
              <w:left w:val="nil"/>
              <w:bottom w:val="single" w:color="auto" w:sz="4" w:space="0"/>
              <w:right w:val="single" w:color="auto" w:sz="4" w:space="0"/>
            </w:tcBorders>
            <w:noWrap w:val="0"/>
            <w:vAlign w:val="top"/>
          </w:tcPr>
          <w:p w14:paraId="4B0F52C1">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DF17824">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6E1341EC">
            <w:pPr>
              <w:widowControl/>
              <w:jc w:val="center"/>
              <w:rPr>
                <w:rFonts w:hint="eastAsia" w:eastAsia="方正仿宋_GBK"/>
                <w:color w:val="FF0000"/>
                <w:kern w:val="0"/>
                <w:sz w:val="24"/>
              </w:rPr>
            </w:pPr>
          </w:p>
        </w:tc>
      </w:tr>
      <w:tr w14:paraId="287A9C88">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7E93ED4F">
            <w:pPr>
              <w:widowControl/>
              <w:jc w:val="center"/>
              <w:rPr>
                <w:rFonts w:eastAsia="方正仿宋_GBK"/>
                <w:kern w:val="0"/>
                <w:sz w:val="24"/>
              </w:rPr>
            </w:pPr>
            <w:r>
              <w:rPr>
                <w:rFonts w:eastAsia="方正仿宋_GBK"/>
                <w:kern w:val="0"/>
                <w:sz w:val="24"/>
              </w:rPr>
              <w:t>2</w:t>
            </w:r>
          </w:p>
        </w:tc>
        <w:tc>
          <w:tcPr>
            <w:tcW w:w="1685" w:type="dxa"/>
            <w:tcBorders>
              <w:top w:val="nil"/>
              <w:left w:val="nil"/>
              <w:bottom w:val="single" w:color="auto" w:sz="4" w:space="0"/>
              <w:right w:val="single" w:color="auto" w:sz="4" w:space="0"/>
            </w:tcBorders>
            <w:noWrap/>
            <w:vAlign w:val="center"/>
          </w:tcPr>
          <w:p w14:paraId="67717415">
            <w:pPr>
              <w:widowControl/>
              <w:jc w:val="center"/>
              <w:rPr>
                <w:rFonts w:hint="eastAsia" w:eastAsia="方正仿宋_GBK"/>
                <w:kern w:val="0"/>
                <w:sz w:val="24"/>
              </w:rPr>
            </w:pPr>
            <w:r>
              <w:rPr>
                <w:rFonts w:hint="eastAsia" w:eastAsia="方正仿宋_GBK"/>
                <w:kern w:val="0"/>
                <w:sz w:val="24"/>
              </w:rPr>
              <w:t>氨（氨气）</w:t>
            </w:r>
          </w:p>
        </w:tc>
        <w:tc>
          <w:tcPr>
            <w:tcW w:w="1395" w:type="dxa"/>
            <w:tcBorders>
              <w:top w:val="nil"/>
              <w:left w:val="nil"/>
              <w:bottom w:val="single" w:color="auto" w:sz="4" w:space="0"/>
              <w:right w:val="single" w:color="auto" w:sz="4" w:space="0"/>
            </w:tcBorders>
            <w:noWrap w:val="0"/>
            <w:vAlign w:val="center"/>
          </w:tcPr>
          <w:p w14:paraId="060D54F3">
            <w:pPr>
              <w:widowControl/>
              <w:jc w:val="center"/>
              <w:rPr>
                <w:rFonts w:eastAsia="方正仿宋_GBK"/>
                <w:kern w:val="0"/>
                <w:sz w:val="24"/>
              </w:rPr>
            </w:pPr>
            <w:r>
              <w:rPr>
                <w:rFonts w:eastAsia="方正仿宋_GBK"/>
                <w:kern w:val="0"/>
                <w:sz w:val="24"/>
              </w:rPr>
              <w:t>1次/</w:t>
            </w:r>
            <w:r>
              <w:rPr>
                <w:rFonts w:hint="eastAsia" w:eastAsia="方正仿宋_GBK"/>
                <w:kern w:val="0"/>
                <w:sz w:val="24"/>
              </w:rPr>
              <w:t>季度</w:t>
            </w:r>
          </w:p>
        </w:tc>
        <w:tc>
          <w:tcPr>
            <w:tcW w:w="1251" w:type="dxa"/>
            <w:tcBorders>
              <w:top w:val="nil"/>
              <w:left w:val="nil"/>
              <w:bottom w:val="single" w:color="auto" w:sz="4" w:space="0"/>
              <w:right w:val="single" w:color="auto" w:sz="4" w:space="0"/>
            </w:tcBorders>
            <w:noWrap/>
            <w:vAlign w:val="center"/>
          </w:tcPr>
          <w:p w14:paraId="2120F38A">
            <w:pPr>
              <w:widowControl/>
              <w:jc w:val="center"/>
              <w:rPr>
                <w:rFonts w:eastAsia="方正仿宋_GBK"/>
                <w:kern w:val="0"/>
                <w:sz w:val="24"/>
              </w:rPr>
            </w:pPr>
            <w:r>
              <w:rPr>
                <w:rFonts w:hint="eastAsia" w:eastAsia="方正仿宋_GBK"/>
                <w:kern w:val="0"/>
                <w:sz w:val="24"/>
              </w:rPr>
              <w:t>5</w:t>
            </w:r>
          </w:p>
        </w:tc>
        <w:tc>
          <w:tcPr>
            <w:tcW w:w="1275" w:type="dxa"/>
            <w:tcBorders>
              <w:top w:val="single" w:color="auto" w:sz="4" w:space="0"/>
              <w:left w:val="nil"/>
              <w:bottom w:val="single" w:color="auto" w:sz="4" w:space="0"/>
              <w:right w:val="single" w:color="auto" w:sz="4" w:space="0"/>
            </w:tcBorders>
            <w:noWrap w:val="0"/>
            <w:vAlign w:val="top"/>
          </w:tcPr>
          <w:p w14:paraId="6EDF885C">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1DEA1C9">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753C1709">
            <w:pPr>
              <w:widowControl/>
              <w:jc w:val="center"/>
              <w:rPr>
                <w:rFonts w:hint="eastAsia" w:eastAsia="方正仿宋_GBK"/>
                <w:color w:val="FF0000"/>
                <w:kern w:val="0"/>
                <w:sz w:val="24"/>
              </w:rPr>
            </w:pPr>
          </w:p>
        </w:tc>
      </w:tr>
      <w:tr w14:paraId="7C9076BE">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5A11F51F">
            <w:pPr>
              <w:widowControl/>
              <w:jc w:val="center"/>
              <w:rPr>
                <w:rFonts w:eastAsia="方正仿宋_GBK"/>
                <w:kern w:val="0"/>
                <w:sz w:val="24"/>
              </w:rPr>
            </w:pPr>
            <w:r>
              <w:rPr>
                <w:rFonts w:eastAsia="方正仿宋_GBK"/>
                <w:kern w:val="0"/>
                <w:sz w:val="24"/>
              </w:rPr>
              <w:t>3</w:t>
            </w:r>
          </w:p>
        </w:tc>
        <w:tc>
          <w:tcPr>
            <w:tcW w:w="1685" w:type="dxa"/>
            <w:tcBorders>
              <w:top w:val="nil"/>
              <w:left w:val="nil"/>
              <w:bottom w:val="single" w:color="auto" w:sz="4" w:space="0"/>
              <w:right w:val="single" w:color="auto" w:sz="4" w:space="0"/>
            </w:tcBorders>
            <w:noWrap/>
            <w:vAlign w:val="center"/>
          </w:tcPr>
          <w:p w14:paraId="376EE99E">
            <w:pPr>
              <w:widowControl/>
              <w:jc w:val="center"/>
              <w:rPr>
                <w:rFonts w:hint="eastAsia" w:eastAsia="方正仿宋_GBK"/>
                <w:kern w:val="0"/>
                <w:sz w:val="24"/>
              </w:rPr>
            </w:pPr>
            <w:r>
              <w:rPr>
                <w:rFonts w:hint="eastAsia" w:eastAsia="方正仿宋_GBK"/>
                <w:kern w:val="0"/>
                <w:sz w:val="24"/>
              </w:rPr>
              <w:t>硫化氢</w:t>
            </w:r>
          </w:p>
        </w:tc>
        <w:tc>
          <w:tcPr>
            <w:tcW w:w="1395" w:type="dxa"/>
            <w:tcBorders>
              <w:top w:val="nil"/>
              <w:left w:val="nil"/>
              <w:bottom w:val="single" w:color="auto" w:sz="4" w:space="0"/>
              <w:right w:val="single" w:color="auto" w:sz="4" w:space="0"/>
            </w:tcBorders>
            <w:noWrap w:val="0"/>
            <w:vAlign w:val="center"/>
          </w:tcPr>
          <w:p w14:paraId="3F582C6F">
            <w:pPr>
              <w:widowControl/>
              <w:jc w:val="center"/>
              <w:rPr>
                <w:rFonts w:eastAsia="方正仿宋_GBK"/>
                <w:kern w:val="0"/>
                <w:sz w:val="24"/>
              </w:rPr>
            </w:pPr>
            <w:r>
              <w:rPr>
                <w:rFonts w:eastAsia="方正仿宋_GBK"/>
                <w:kern w:val="0"/>
                <w:sz w:val="24"/>
              </w:rPr>
              <w:t>1次/</w:t>
            </w:r>
            <w:r>
              <w:rPr>
                <w:rFonts w:hint="eastAsia" w:eastAsia="方正仿宋_GBK"/>
                <w:kern w:val="0"/>
                <w:sz w:val="24"/>
              </w:rPr>
              <w:t>季度</w:t>
            </w:r>
          </w:p>
        </w:tc>
        <w:tc>
          <w:tcPr>
            <w:tcW w:w="1251" w:type="dxa"/>
            <w:tcBorders>
              <w:top w:val="nil"/>
              <w:left w:val="nil"/>
              <w:bottom w:val="single" w:color="auto" w:sz="4" w:space="0"/>
              <w:right w:val="single" w:color="auto" w:sz="4" w:space="0"/>
            </w:tcBorders>
            <w:noWrap/>
            <w:vAlign w:val="center"/>
          </w:tcPr>
          <w:p w14:paraId="1812BE8F">
            <w:pPr>
              <w:widowControl/>
              <w:jc w:val="center"/>
              <w:rPr>
                <w:rFonts w:eastAsia="方正仿宋_GBK"/>
                <w:kern w:val="0"/>
                <w:sz w:val="24"/>
              </w:rPr>
            </w:pPr>
            <w:r>
              <w:rPr>
                <w:rFonts w:hint="eastAsia" w:eastAsia="方正仿宋_GBK"/>
                <w:kern w:val="0"/>
                <w:sz w:val="24"/>
              </w:rPr>
              <w:t>5</w:t>
            </w:r>
          </w:p>
        </w:tc>
        <w:tc>
          <w:tcPr>
            <w:tcW w:w="1275" w:type="dxa"/>
            <w:tcBorders>
              <w:top w:val="single" w:color="auto" w:sz="4" w:space="0"/>
              <w:left w:val="nil"/>
              <w:bottom w:val="single" w:color="auto" w:sz="4" w:space="0"/>
              <w:right w:val="single" w:color="auto" w:sz="4" w:space="0"/>
            </w:tcBorders>
            <w:noWrap w:val="0"/>
            <w:vAlign w:val="top"/>
          </w:tcPr>
          <w:p w14:paraId="04932101">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22E9AF5D">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46176D61">
            <w:pPr>
              <w:widowControl/>
              <w:jc w:val="center"/>
              <w:rPr>
                <w:rFonts w:hint="eastAsia" w:eastAsia="方正仿宋_GBK"/>
                <w:color w:val="FF0000"/>
                <w:kern w:val="0"/>
                <w:sz w:val="24"/>
              </w:rPr>
            </w:pPr>
          </w:p>
        </w:tc>
      </w:tr>
      <w:tr w14:paraId="1218D93E">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6A79B691">
            <w:pPr>
              <w:widowControl/>
              <w:jc w:val="center"/>
              <w:rPr>
                <w:rFonts w:eastAsia="方正仿宋_GBK"/>
                <w:kern w:val="0"/>
                <w:sz w:val="24"/>
              </w:rPr>
            </w:pPr>
            <w:r>
              <w:rPr>
                <w:rFonts w:eastAsia="方正仿宋_GBK"/>
                <w:kern w:val="0"/>
                <w:sz w:val="24"/>
              </w:rPr>
              <w:t>4</w:t>
            </w:r>
          </w:p>
        </w:tc>
        <w:tc>
          <w:tcPr>
            <w:tcW w:w="1685" w:type="dxa"/>
            <w:tcBorders>
              <w:top w:val="nil"/>
              <w:left w:val="nil"/>
              <w:bottom w:val="single" w:color="auto" w:sz="4" w:space="0"/>
              <w:right w:val="single" w:color="auto" w:sz="4" w:space="0"/>
            </w:tcBorders>
            <w:noWrap/>
            <w:vAlign w:val="center"/>
          </w:tcPr>
          <w:p w14:paraId="3B452786">
            <w:pPr>
              <w:widowControl/>
              <w:jc w:val="center"/>
              <w:rPr>
                <w:rFonts w:hint="eastAsia" w:eastAsia="方正仿宋_GBK"/>
                <w:kern w:val="0"/>
                <w:sz w:val="24"/>
              </w:rPr>
            </w:pPr>
            <w:r>
              <w:rPr>
                <w:rFonts w:hint="eastAsia" w:eastAsia="方正仿宋_GBK"/>
                <w:kern w:val="0"/>
                <w:sz w:val="24"/>
              </w:rPr>
              <w:t>氮氧化物</w:t>
            </w:r>
          </w:p>
        </w:tc>
        <w:tc>
          <w:tcPr>
            <w:tcW w:w="1395" w:type="dxa"/>
            <w:tcBorders>
              <w:top w:val="nil"/>
              <w:left w:val="nil"/>
              <w:bottom w:val="single" w:color="auto" w:sz="4" w:space="0"/>
              <w:right w:val="single" w:color="auto" w:sz="4" w:space="0"/>
            </w:tcBorders>
            <w:noWrap w:val="0"/>
            <w:vAlign w:val="center"/>
          </w:tcPr>
          <w:p w14:paraId="42AFF1D9">
            <w:pPr>
              <w:widowControl/>
              <w:jc w:val="center"/>
              <w:rPr>
                <w:rFonts w:hint="eastAsia" w:eastAsia="方正仿宋_GBK"/>
                <w:kern w:val="0"/>
                <w:sz w:val="24"/>
              </w:rPr>
            </w:pPr>
            <w:r>
              <w:rPr>
                <w:rFonts w:hint="eastAsia" w:eastAsia="方正仿宋_GBK"/>
                <w:kern w:val="0"/>
                <w:sz w:val="24"/>
              </w:rPr>
              <w:t>1次/月</w:t>
            </w:r>
          </w:p>
        </w:tc>
        <w:tc>
          <w:tcPr>
            <w:tcW w:w="1251" w:type="dxa"/>
            <w:tcBorders>
              <w:top w:val="nil"/>
              <w:left w:val="nil"/>
              <w:bottom w:val="single" w:color="auto" w:sz="4" w:space="0"/>
              <w:right w:val="single" w:color="auto" w:sz="4" w:space="0"/>
            </w:tcBorders>
            <w:noWrap/>
            <w:vAlign w:val="center"/>
          </w:tcPr>
          <w:p w14:paraId="16A3CBB1">
            <w:pPr>
              <w:widowControl/>
              <w:jc w:val="center"/>
              <w:rPr>
                <w:rFonts w:hint="eastAsia" w:eastAsia="方正仿宋_GBK"/>
                <w:kern w:val="0"/>
                <w:sz w:val="24"/>
              </w:rPr>
            </w:pPr>
            <w:r>
              <w:rPr>
                <w:rFonts w:hint="eastAsia" w:eastAsia="方正仿宋_GBK"/>
                <w:kern w:val="0"/>
                <w:sz w:val="24"/>
              </w:rPr>
              <w:t>13</w:t>
            </w:r>
          </w:p>
        </w:tc>
        <w:tc>
          <w:tcPr>
            <w:tcW w:w="1275" w:type="dxa"/>
            <w:tcBorders>
              <w:top w:val="single" w:color="auto" w:sz="4" w:space="0"/>
              <w:left w:val="nil"/>
              <w:bottom w:val="single" w:color="auto" w:sz="4" w:space="0"/>
              <w:right w:val="single" w:color="auto" w:sz="4" w:space="0"/>
            </w:tcBorders>
            <w:noWrap w:val="0"/>
            <w:vAlign w:val="top"/>
          </w:tcPr>
          <w:p w14:paraId="24FE2B59">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2216B1A">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3BAEEB64">
            <w:pPr>
              <w:widowControl/>
              <w:jc w:val="center"/>
              <w:rPr>
                <w:rFonts w:eastAsia="方正仿宋_GBK"/>
                <w:color w:val="FF0000"/>
                <w:kern w:val="0"/>
                <w:sz w:val="24"/>
              </w:rPr>
            </w:pPr>
          </w:p>
        </w:tc>
      </w:tr>
      <w:tr w14:paraId="6F34FAA8">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09ED9FD5">
            <w:pPr>
              <w:widowControl/>
              <w:jc w:val="center"/>
              <w:rPr>
                <w:rFonts w:eastAsia="方正仿宋_GBK"/>
                <w:kern w:val="0"/>
                <w:sz w:val="24"/>
              </w:rPr>
            </w:pPr>
            <w:r>
              <w:rPr>
                <w:rFonts w:eastAsia="方正仿宋_GBK"/>
                <w:kern w:val="0"/>
                <w:sz w:val="24"/>
              </w:rPr>
              <w:t>5</w:t>
            </w:r>
          </w:p>
        </w:tc>
        <w:tc>
          <w:tcPr>
            <w:tcW w:w="1685" w:type="dxa"/>
            <w:tcBorders>
              <w:top w:val="nil"/>
              <w:left w:val="nil"/>
              <w:bottom w:val="single" w:color="auto" w:sz="4" w:space="0"/>
              <w:right w:val="single" w:color="auto" w:sz="4" w:space="0"/>
            </w:tcBorders>
            <w:noWrap/>
            <w:vAlign w:val="center"/>
          </w:tcPr>
          <w:p w14:paraId="3C393761">
            <w:pPr>
              <w:widowControl/>
              <w:jc w:val="center"/>
              <w:rPr>
                <w:rFonts w:hint="eastAsia" w:eastAsia="方正仿宋_GBK"/>
                <w:kern w:val="0"/>
                <w:sz w:val="24"/>
              </w:rPr>
            </w:pPr>
            <w:r>
              <w:rPr>
                <w:rFonts w:hint="eastAsia" w:eastAsia="方正仿宋_GBK"/>
                <w:kern w:val="0"/>
                <w:sz w:val="24"/>
              </w:rPr>
              <w:t>颗粒物</w:t>
            </w:r>
          </w:p>
        </w:tc>
        <w:tc>
          <w:tcPr>
            <w:tcW w:w="1395" w:type="dxa"/>
            <w:tcBorders>
              <w:top w:val="nil"/>
              <w:left w:val="nil"/>
              <w:bottom w:val="single" w:color="auto" w:sz="4" w:space="0"/>
              <w:right w:val="single" w:color="auto" w:sz="4" w:space="0"/>
            </w:tcBorders>
            <w:noWrap w:val="0"/>
            <w:vAlign w:val="center"/>
          </w:tcPr>
          <w:p w14:paraId="0A62878D">
            <w:pPr>
              <w:widowControl/>
              <w:jc w:val="center"/>
              <w:rPr>
                <w:rFonts w:hint="eastAsia" w:eastAsia="方正仿宋_GBK"/>
                <w:kern w:val="0"/>
                <w:sz w:val="24"/>
              </w:rPr>
            </w:pPr>
            <w:r>
              <w:rPr>
                <w:rFonts w:hint="eastAsia" w:eastAsia="方正仿宋_GBK"/>
                <w:kern w:val="0"/>
                <w:sz w:val="24"/>
              </w:rPr>
              <w:t>1次/年</w:t>
            </w:r>
          </w:p>
        </w:tc>
        <w:tc>
          <w:tcPr>
            <w:tcW w:w="1251" w:type="dxa"/>
            <w:tcBorders>
              <w:top w:val="nil"/>
              <w:left w:val="nil"/>
              <w:bottom w:val="single" w:color="auto" w:sz="4" w:space="0"/>
              <w:right w:val="single" w:color="auto" w:sz="4" w:space="0"/>
            </w:tcBorders>
            <w:noWrap/>
            <w:vAlign w:val="center"/>
          </w:tcPr>
          <w:p w14:paraId="58E469B1">
            <w:pPr>
              <w:widowControl/>
              <w:jc w:val="center"/>
              <w:rPr>
                <w:rFonts w:hint="eastAsia" w:eastAsia="方正仿宋_GBK"/>
                <w:kern w:val="0"/>
                <w:sz w:val="24"/>
              </w:rPr>
            </w:pPr>
            <w:r>
              <w:rPr>
                <w:rFonts w:hint="eastAsia" w:eastAsia="方正仿宋_GBK"/>
                <w:kern w:val="0"/>
                <w:sz w:val="24"/>
              </w:rPr>
              <w:t>1</w:t>
            </w:r>
          </w:p>
        </w:tc>
        <w:tc>
          <w:tcPr>
            <w:tcW w:w="1275" w:type="dxa"/>
            <w:tcBorders>
              <w:top w:val="single" w:color="auto" w:sz="4" w:space="0"/>
              <w:left w:val="nil"/>
              <w:bottom w:val="single" w:color="auto" w:sz="4" w:space="0"/>
              <w:right w:val="single" w:color="auto" w:sz="4" w:space="0"/>
            </w:tcBorders>
            <w:noWrap w:val="0"/>
            <w:vAlign w:val="top"/>
          </w:tcPr>
          <w:p w14:paraId="6CC0F429">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608CDCE">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6791673B">
            <w:pPr>
              <w:widowControl/>
              <w:jc w:val="center"/>
              <w:rPr>
                <w:rFonts w:hint="eastAsia" w:eastAsia="方正仿宋_GBK"/>
                <w:color w:val="FF0000"/>
                <w:kern w:val="0"/>
                <w:sz w:val="24"/>
              </w:rPr>
            </w:pPr>
          </w:p>
        </w:tc>
      </w:tr>
      <w:tr w14:paraId="278C68C3">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3C68A05C">
            <w:pPr>
              <w:widowControl/>
              <w:jc w:val="center"/>
              <w:rPr>
                <w:rFonts w:eastAsia="方正仿宋_GBK"/>
                <w:kern w:val="0"/>
                <w:sz w:val="24"/>
              </w:rPr>
            </w:pPr>
            <w:r>
              <w:rPr>
                <w:rFonts w:eastAsia="方正仿宋_GBK"/>
                <w:kern w:val="0"/>
                <w:sz w:val="24"/>
              </w:rPr>
              <w:t>6</w:t>
            </w:r>
          </w:p>
        </w:tc>
        <w:tc>
          <w:tcPr>
            <w:tcW w:w="1685" w:type="dxa"/>
            <w:tcBorders>
              <w:top w:val="nil"/>
              <w:left w:val="nil"/>
              <w:bottom w:val="single" w:color="auto" w:sz="4" w:space="0"/>
              <w:right w:val="single" w:color="auto" w:sz="4" w:space="0"/>
            </w:tcBorders>
            <w:noWrap/>
            <w:vAlign w:val="center"/>
          </w:tcPr>
          <w:p w14:paraId="1A9D2960">
            <w:pPr>
              <w:widowControl/>
              <w:jc w:val="center"/>
              <w:rPr>
                <w:rFonts w:hint="eastAsia" w:eastAsia="方正仿宋_GBK"/>
                <w:kern w:val="0"/>
                <w:sz w:val="24"/>
              </w:rPr>
            </w:pPr>
            <w:r>
              <w:rPr>
                <w:rFonts w:hint="eastAsia" w:eastAsia="方正仿宋_GBK"/>
                <w:kern w:val="0"/>
                <w:sz w:val="24"/>
              </w:rPr>
              <w:t>二氧化硫</w:t>
            </w:r>
          </w:p>
        </w:tc>
        <w:tc>
          <w:tcPr>
            <w:tcW w:w="1395" w:type="dxa"/>
            <w:tcBorders>
              <w:top w:val="nil"/>
              <w:left w:val="nil"/>
              <w:bottom w:val="single" w:color="auto" w:sz="4" w:space="0"/>
              <w:right w:val="single" w:color="auto" w:sz="4" w:space="0"/>
            </w:tcBorders>
            <w:noWrap w:val="0"/>
            <w:vAlign w:val="center"/>
          </w:tcPr>
          <w:p w14:paraId="0AABCA11">
            <w:pPr>
              <w:widowControl/>
              <w:jc w:val="center"/>
              <w:rPr>
                <w:rFonts w:eastAsia="方正仿宋_GBK"/>
                <w:kern w:val="0"/>
                <w:sz w:val="24"/>
              </w:rPr>
            </w:pPr>
            <w:r>
              <w:rPr>
                <w:rFonts w:hint="eastAsia" w:eastAsia="方正仿宋_GBK"/>
                <w:kern w:val="0"/>
                <w:sz w:val="24"/>
              </w:rPr>
              <w:t>1次/年</w:t>
            </w:r>
          </w:p>
        </w:tc>
        <w:tc>
          <w:tcPr>
            <w:tcW w:w="1251" w:type="dxa"/>
            <w:tcBorders>
              <w:top w:val="nil"/>
              <w:left w:val="nil"/>
              <w:bottom w:val="single" w:color="auto" w:sz="4" w:space="0"/>
              <w:right w:val="single" w:color="auto" w:sz="4" w:space="0"/>
            </w:tcBorders>
            <w:noWrap/>
            <w:vAlign w:val="center"/>
          </w:tcPr>
          <w:p w14:paraId="0ACE873E">
            <w:pPr>
              <w:widowControl/>
              <w:jc w:val="center"/>
              <w:rPr>
                <w:rFonts w:eastAsia="方正仿宋_GBK"/>
                <w:kern w:val="0"/>
                <w:sz w:val="24"/>
              </w:rPr>
            </w:pPr>
            <w:r>
              <w:rPr>
                <w:rFonts w:hint="eastAsia" w:eastAsia="方正仿宋_GBK"/>
                <w:kern w:val="0"/>
                <w:sz w:val="24"/>
              </w:rPr>
              <w:t>1</w:t>
            </w:r>
          </w:p>
        </w:tc>
        <w:tc>
          <w:tcPr>
            <w:tcW w:w="1275" w:type="dxa"/>
            <w:tcBorders>
              <w:top w:val="single" w:color="auto" w:sz="4" w:space="0"/>
              <w:left w:val="nil"/>
              <w:bottom w:val="single" w:color="auto" w:sz="4" w:space="0"/>
              <w:right w:val="single" w:color="auto" w:sz="4" w:space="0"/>
            </w:tcBorders>
            <w:noWrap w:val="0"/>
            <w:vAlign w:val="top"/>
          </w:tcPr>
          <w:p w14:paraId="3AE500BE">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EFF92DE">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78FAAED3">
            <w:pPr>
              <w:widowControl/>
              <w:jc w:val="center"/>
              <w:rPr>
                <w:rFonts w:hint="eastAsia" w:eastAsia="方正仿宋_GBK"/>
                <w:color w:val="FF0000"/>
                <w:kern w:val="0"/>
                <w:sz w:val="24"/>
              </w:rPr>
            </w:pPr>
          </w:p>
        </w:tc>
      </w:tr>
      <w:tr w14:paraId="07554725">
        <w:tblPrEx>
          <w:tblCellMar>
            <w:top w:w="0" w:type="dxa"/>
            <w:left w:w="108" w:type="dxa"/>
            <w:bottom w:w="0" w:type="dxa"/>
            <w:right w:w="108" w:type="dxa"/>
          </w:tblCellMar>
        </w:tblPrEx>
        <w:trPr>
          <w:trHeight w:val="567" w:hRule="exact"/>
          <w:jc w:val="center"/>
        </w:trPr>
        <w:tc>
          <w:tcPr>
            <w:tcW w:w="773" w:type="dxa"/>
            <w:tcBorders>
              <w:top w:val="nil"/>
              <w:left w:val="single" w:color="auto" w:sz="4" w:space="0"/>
              <w:bottom w:val="single" w:color="auto" w:sz="4" w:space="0"/>
              <w:right w:val="single" w:color="auto" w:sz="4" w:space="0"/>
            </w:tcBorders>
            <w:noWrap/>
            <w:vAlign w:val="center"/>
          </w:tcPr>
          <w:p w14:paraId="1F3BECD5">
            <w:pPr>
              <w:widowControl/>
              <w:jc w:val="center"/>
              <w:rPr>
                <w:rFonts w:eastAsia="方正仿宋_GBK"/>
                <w:kern w:val="0"/>
                <w:sz w:val="24"/>
              </w:rPr>
            </w:pPr>
            <w:r>
              <w:rPr>
                <w:rFonts w:eastAsia="方正仿宋_GBK"/>
                <w:kern w:val="0"/>
                <w:sz w:val="24"/>
              </w:rPr>
              <w:t>7</w:t>
            </w:r>
          </w:p>
        </w:tc>
        <w:tc>
          <w:tcPr>
            <w:tcW w:w="1685" w:type="dxa"/>
            <w:tcBorders>
              <w:top w:val="nil"/>
              <w:left w:val="nil"/>
              <w:bottom w:val="single" w:color="auto" w:sz="4" w:space="0"/>
              <w:right w:val="single" w:color="auto" w:sz="4" w:space="0"/>
            </w:tcBorders>
            <w:noWrap/>
            <w:vAlign w:val="center"/>
          </w:tcPr>
          <w:p w14:paraId="689A9BD1">
            <w:pPr>
              <w:widowControl/>
              <w:jc w:val="center"/>
              <w:rPr>
                <w:rFonts w:hint="eastAsia" w:eastAsia="方正仿宋_GBK"/>
                <w:kern w:val="0"/>
                <w:sz w:val="24"/>
              </w:rPr>
            </w:pPr>
            <w:r>
              <w:rPr>
                <w:rFonts w:hint="eastAsia" w:eastAsia="方正仿宋_GBK"/>
                <w:kern w:val="0"/>
                <w:sz w:val="24"/>
              </w:rPr>
              <w:t>林格曼黑度</w:t>
            </w:r>
          </w:p>
        </w:tc>
        <w:tc>
          <w:tcPr>
            <w:tcW w:w="1395" w:type="dxa"/>
            <w:tcBorders>
              <w:top w:val="nil"/>
              <w:left w:val="nil"/>
              <w:bottom w:val="single" w:color="auto" w:sz="4" w:space="0"/>
              <w:right w:val="single" w:color="auto" w:sz="4" w:space="0"/>
            </w:tcBorders>
            <w:noWrap w:val="0"/>
            <w:vAlign w:val="center"/>
          </w:tcPr>
          <w:p w14:paraId="21BE3FDE">
            <w:pPr>
              <w:widowControl/>
              <w:jc w:val="center"/>
              <w:rPr>
                <w:rFonts w:eastAsia="方正仿宋_GBK"/>
                <w:kern w:val="0"/>
                <w:sz w:val="24"/>
              </w:rPr>
            </w:pPr>
            <w:r>
              <w:rPr>
                <w:rFonts w:hint="eastAsia" w:eastAsia="方正仿宋_GBK"/>
                <w:kern w:val="0"/>
                <w:sz w:val="24"/>
              </w:rPr>
              <w:t>1次/年</w:t>
            </w:r>
          </w:p>
        </w:tc>
        <w:tc>
          <w:tcPr>
            <w:tcW w:w="1251" w:type="dxa"/>
            <w:tcBorders>
              <w:top w:val="nil"/>
              <w:left w:val="nil"/>
              <w:bottom w:val="single" w:color="auto" w:sz="4" w:space="0"/>
              <w:right w:val="single" w:color="auto" w:sz="4" w:space="0"/>
            </w:tcBorders>
            <w:noWrap/>
            <w:vAlign w:val="center"/>
          </w:tcPr>
          <w:p w14:paraId="1821AFC6">
            <w:pPr>
              <w:widowControl/>
              <w:jc w:val="center"/>
              <w:rPr>
                <w:rFonts w:eastAsia="方正仿宋_GBK"/>
                <w:kern w:val="0"/>
                <w:sz w:val="24"/>
              </w:rPr>
            </w:pPr>
            <w:r>
              <w:rPr>
                <w:rFonts w:hint="eastAsia" w:eastAsia="方正仿宋_GBK"/>
                <w:kern w:val="0"/>
                <w:sz w:val="24"/>
              </w:rPr>
              <w:t>1</w:t>
            </w:r>
          </w:p>
        </w:tc>
        <w:tc>
          <w:tcPr>
            <w:tcW w:w="1275" w:type="dxa"/>
            <w:tcBorders>
              <w:top w:val="single" w:color="auto" w:sz="4" w:space="0"/>
              <w:left w:val="nil"/>
              <w:bottom w:val="single" w:color="auto" w:sz="4" w:space="0"/>
              <w:right w:val="single" w:color="auto" w:sz="4" w:space="0"/>
            </w:tcBorders>
            <w:noWrap w:val="0"/>
            <w:vAlign w:val="top"/>
          </w:tcPr>
          <w:p w14:paraId="79344086">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2F15EA59">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3D01E32C">
            <w:pPr>
              <w:widowControl/>
              <w:jc w:val="center"/>
              <w:rPr>
                <w:rFonts w:hint="eastAsia" w:eastAsia="方正仿宋_GBK"/>
                <w:color w:val="FF0000"/>
                <w:kern w:val="0"/>
                <w:sz w:val="24"/>
              </w:rPr>
            </w:pPr>
          </w:p>
        </w:tc>
      </w:tr>
      <w:tr w14:paraId="49637FF9">
        <w:tblPrEx>
          <w:tblCellMar>
            <w:top w:w="0" w:type="dxa"/>
            <w:left w:w="108" w:type="dxa"/>
            <w:bottom w:w="0" w:type="dxa"/>
            <w:right w:w="108" w:type="dxa"/>
          </w:tblCellMar>
        </w:tblPrEx>
        <w:trPr>
          <w:trHeight w:val="580" w:hRule="exact"/>
          <w:jc w:val="center"/>
        </w:trPr>
        <w:tc>
          <w:tcPr>
            <w:tcW w:w="773" w:type="dxa"/>
            <w:tcBorders>
              <w:top w:val="nil"/>
              <w:left w:val="single" w:color="auto" w:sz="4" w:space="0"/>
              <w:bottom w:val="single" w:color="auto" w:sz="4" w:space="0"/>
              <w:right w:val="single" w:color="auto" w:sz="4" w:space="0"/>
            </w:tcBorders>
            <w:noWrap/>
            <w:vAlign w:val="center"/>
          </w:tcPr>
          <w:p w14:paraId="38452569">
            <w:pPr>
              <w:widowControl/>
              <w:jc w:val="center"/>
              <w:rPr>
                <w:rFonts w:eastAsia="方正仿宋_GBK"/>
                <w:kern w:val="0"/>
                <w:sz w:val="24"/>
              </w:rPr>
            </w:pPr>
            <w:r>
              <w:rPr>
                <w:rFonts w:eastAsia="方正仿宋_GBK"/>
                <w:kern w:val="0"/>
                <w:sz w:val="24"/>
              </w:rPr>
              <w:t>8</w:t>
            </w:r>
          </w:p>
        </w:tc>
        <w:tc>
          <w:tcPr>
            <w:tcW w:w="1685" w:type="dxa"/>
            <w:tcBorders>
              <w:top w:val="nil"/>
              <w:left w:val="nil"/>
              <w:bottom w:val="single" w:color="auto" w:sz="4" w:space="0"/>
              <w:right w:val="single" w:color="auto" w:sz="4" w:space="0"/>
            </w:tcBorders>
            <w:noWrap/>
            <w:vAlign w:val="center"/>
          </w:tcPr>
          <w:p w14:paraId="19D481FF">
            <w:pPr>
              <w:widowControl/>
              <w:spacing w:line="240" w:lineRule="exact"/>
              <w:jc w:val="center"/>
              <w:rPr>
                <w:rFonts w:hint="eastAsia" w:eastAsia="方正仿宋_GBK"/>
                <w:kern w:val="0"/>
                <w:sz w:val="24"/>
              </w:rPr>
            </w:pPr>
            <w:r>
              <w:rPr>
                <w:rFonts w:hint="eastAsia" w:eastAsia="方正仿宋_GBK"/>
                <w:kern w:val="0"/>
                <w:sz w:val="24"/>
              </w:rPr>
              <w:t>厂界噪声</w:t>
            </w:r>
          </w:p>
          <w:p w14:paraId="38AE5817">
            <w:pPr>
              <w:widowControl/>
              <w:spacing w:line="240" w:lineRule="exact"/>
              <w:jc w:val="center"/>
              <w:rPr>
                <w:rFonts w:hint="eastAsia" w:eastAsia="方正仿宋_GBK"/>
                <w:kern w:val="0"/>
                <w:sz w:val="24"/>
              </w:rPr>
            </w:pPr>
            <w:r>
              <w:rPr>
                <w:rFonts w:hint="eastAsia" w:eastAsia="方正仿宋_GBK"/>
                <w:kern w:val="0"/>
                <w:sz w:val="24"/>
              </w:rPr>
              <w:t>（昼间、夜间）</w:t>
            </w:r>
          </w:p>
        </w:tc>
        <w:tc>
          <w:tcPr>
            <w:tcW w:w="1395" w:type="dxa"/>
            <w:tcBorders>
              <w:top w:val="nil"/>
              <w:left w:val="nil"/>
              <w:bottom w:val="single" w:color="auto" w:sz="4" w:space="0"/>
              <w:right w:val="single" w:color="auto" w:sz="4" w:space="0"/>
            </w:tcBorders>
            <w:noWrap w:val="0"/>
            <w:vAlign w:val="center"/>
          </w:tcPr>
          <w:p w14:paraId="6104311E">
            <w:pPr>
              <w:widowControl/>
              <w:jc w:val="center"/>
              <w:rPr>
                <w:rFonts w:eastAsia="方正仿宋_GBK"/>
                <w:kern w:val="0"/>
                <w:sz w:val="24"/>
              </w:rPr>
            </w:pPr>
            <w:r>
              <w:rPr>
                <w:rFonts w:eastAsia="方正仿宋_GBK"/>
                <w:kern w:val="0"/>
                <w:sz w:val="24"/>
              </w:rPr>
              <w:t>1次/</w:t>
            </w:r>
            <w:r>
              <w:rPr>
                <w:rFonts w:hint="eastAsia" w:eastAsia="方正仿宋_GBK"/>
                <w:kern w:val="0"/>
                <w:sz w:val="24"/>
              </w:rPr>
              <w:t>季度</w:t>
            </w:r>
          </w:p>
        </w:tc>
        <w:tc>
          <w:tcPr>
            <w:tcW w:w="1251" w:type="dxa"/>
            <w:tcBorders>
              <w:top w:val="nil"/>
              <w:left w:val="nil"/>
              <w:bottom w:val="single" w:color="auto" w:sz="4" w:space="0"/>
              <w:right w:val="single" w:color="auto" w:sz="4" w:space="0"/>
            </w:tcBorders>
            <w:noWrap/>
            <w:vAlign w:val="center"/>
          </w:tcPr>
          <w:p w14:paraId="626CAD36">
            <w:pPr>
              <w:widowControl/>
              <w:jc w:val="center"/>
              <w:rPr>
                <w:rFonts w:eastAsia="方正仿宋_GBK"/>
                <w:kern w:val="0"/>
                <w:sz w:val="24"/>
              </w:rPr>
            </w:pPr>
            <w:r>
              <w:rPr>
                <w:rFonts w:hint="eastAsia" w:eastAsia="方正仿宋_GBK"/>
                <w:kern w:val="0"/>
                <w:sz w:val="24"/>
              </w:rPr>
              <w:t>5</w:t>
            </w:r>
          </w:p>
        </w:tc>
        <w:tc>
          <w:tcPr>
            <w:tcW w:w="1275" w:type="dxa"/>
            <w:tcBorders>
              <w:top w:val="single" w:color="auto" w:sz="4" w:space="0"/>
              <w:left w:val="nil"/>
              <w:bottom w:val="single" w:color="auto" w:sz="4" w:space="0"/>
              <w:right w:val="single" w:color="auto" w:sz="4" w:space="0"/>
            </w:tcBorders>
            <w:noWrap w:val="0"/>
            <w:vAlign w:val="top"/>
          </w:tcPr>
          <w:p w14:paraId="2BAB4FF3">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8585187">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42592668">
            <w:pPr>
              <w:widowControl/>
              <w:jc w:val="center"/>
              <w:rPr>
                <w:rFonts w:hint="eastAsia" w:eastAsia="方正仿宋_GBK"/>
                <w:color w:val="FF0000"/>
                <w:kern w:val="0"/>
                <w:sz w:val="24"/>
              </w:rPr>
            </w:pPr>
          </w:p>
        </w:tc>
      </w:tr>
      <w:tr w14:paraId="0D3D7886">
        <w:tblPrEx>
          <w:tblCellMar>
            <w:top w:w="0" w:type="dxa"/>
            <w:left w:w="108" w:type="dxa"/>
            <w:bottom w:w="0" w:type="dxa"/>
            <w:right w:w="108" w:type="dxa"/>
          </w:tblCellMar>
        </w:tblPrEx>
        <w:trPr>
          <w:trHeight w:val="567" w:hRule="exact"/>
          <w:jc w:val="center"/>
        </w:trPr>
        <w:tc>
          <w:tcPr>
            <w:tcW w:w="5104" w:type="dxa"/>
            <w:gridSpan w:val="4"/>
            <w:tcBorders>
              <w:top w:val="nil"/>
              <w:left w:val="single" w:color="auto" w:sz="4" w:space="0"/>
              <w:bottom w:val="single" w:color="auto" w:sz="4" w:space="0"/>
              <w:right w:val="single" w:color="auto" w:sz="4" w:space="0"/>
            </w:tcBorders>
            <w:noWrap/>
            <w:vAlign w:val="center"/>
          </w:tcPr>
          <w:p w14:paraId="78FB6C04">
            <w:pPr>
              <w:widowControl/>
              <w:spacing w:line="300" w:lineRule="exact"/>
              <w:jc w:val="center"/>
              <w:rPr>
                <w:rFonts w:hint="eastAsia" w:eastAsia="方正仿宋_GBK"/>
                <w:kern w:val="0"/>
                <w:sz w:val="24"/>
              </w:rPr>
            </w:pPr>
            <w:r>
              <w:rPr>
                <w:rFonts w:hint="eastAsia" w:eastAsia="方正仿宋_GBK"/>
                <w:kern w:val="0"/>
                <w:sz w:val="24"/>
              </w:rPr>
              <w:t>合计</w:t>
            </w:r>
          </w:p>
        </w:tc>
        <w:tc>
          <w:tcPr>
            <w:tcW w:w="1275" w:type="dxa"/>
            <w:tcBorders>
              <w:top w:val="single" w:color="auto" w:sz="4" w:space="0"/>
              <w:left w:val="nil"/>
              <w:bottom w:val="single" w:color="auto" w:sz="4" w:space="0"/>
              <w:right w:val="single" w:color="auto" w:sz="4" w:space="0"/>
            </w:tcBorders>
            <w:noWrap w:val="0"/>
            <w:vAlign w:val="top"/>
          </w:tcPr>
          <w:p w14:paraId="6A7E2C06">
            <w:pPr>
              <w:widowControl/>
              <w:jc w:val="center"/>
              <w:rPr>
                <w:rFonts w:eastAsia="方正仿宋_GBK"/>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3C2A052E">
            <w:pPr>
              <w:widowControl/>
              <w:jc w:val="center"/>
              <w:rPr>
                <w:rFonts w:eastAsia="方正仿宋_GBK"/>
                <w:kern w:val="0"/>
                <w:sz w:val="24"/>
              </w:rPr>
            </w:pPr>
          </w:p>
        </w:tc>
        <w:tc>
          <w:tcPr>
            <w:tcW w:w="1273" w:type="dxa"/>
            <w:tcBorders>
              <w:top w:val="nil"/>
              <w:left w:val="nil"/>
              <w:bottom w:val="single" w:color="auto" w:sz="4" w:space="0"/>
              <w:right w:val="single" w:color="auto" w:sz="4" w:space="0"/>
            </w:tcBorders>
            <w:noWrap/>
            <w:vAlign w:val="center"/>
          </w:tcPr>
          <w:p w14:paraId="5A8A3D37">
            <w:pPr>
              <w:widowControl/>
              <w:jc w:val="center"/>
              <w:rPr>
                <w:rFonts w:eastAsia="方正仿宋_GBK"/>
                <w:kern w:val="0"/>
                <w:sz w:val="24"/>
              </w:rPr>
            </w:pPr>
          </w:p>
        </w:tc>
      </w:tr>
    </w:tbl>
    <w:p w14:paraId="2C22AA5F">
      <w:pPr>
        <w:snapToGrid w:val="0"/>
        <w:spacing w:line="520" w:lineRule="exact"/>
        <w:ind w:firstLine="482" w:firstLineChars="200"/>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val="en-US" w:eastAsia="zh-CN"/>
        </w:rPr>
        <w:t>注：1.各项报价为包干价，包含服务费、差旅费、住宿费、保险费、税费等各项费用。</w:t>
      </w:r>
    </w:p>
    <w:p w14:paraId="60C39AB3">
      <w:pPr>
        <w:snapToGrid w:val="0"/>
        <w:spacing w:line="520" w:lineRule="exact"/>
        <w:ind w:firstLine="482" w:firstLineChars="200"/>
        <w:rPr>
          <w:rFonts w:hint="default" w:ascii="楷体" w:hAnsi="楷体" w:eastAsia="楷体" w:cs="楷体"/>
          <w:b/>
          <w:kern w:val="0"/>
          <w:sz w:val="24"/>
          <w:szCs w:val="24"/>
          <w:lang w:val="en-US" w:eastAsia="zh-CN"/>
        </w:rPr>
      </w:pPr>
      <w:r>
        <w:rPr>
          <w:rFonts w:hint="eastAsia" w:ascii="楷体" w:hAnsi="楷体" w:eastAsia="楷体" w:cs="楷体"/>
          <w:b/>
          <w:kern w:val="0"/>
          <w:sz w:val="24"/>
          <w:szCs w:val="24"/>
          <w:lang w:val="en-US" w:eastAsia="zh-CN"/>
        </w:rPr>
        <w:t>2.监测频次中1次是指该监测项目每天采样3次。如部分监测项目发生变化，双方协商议价。</w:t>
      </w:r>
    </w:p>
    <w:p w14:paraId="3E76F775">
      <w:pPr>
        <w:snapToGrid w:val="0"/>
        <w:spacing w:line="520" w:lineRule="exact"/>
        <w:ind w:firstLine="420" w:firstLineChars="200"/>
        <w:rPr>
          <w:rFonts w:hint="eastAsia" w:ascii="宋体" w:hAnsi="宋体" w:eastAsia="宋体" w:cs="宋体"/>
          <w:color w:val="FF0000"/>
          <w:szCs w:val="28"/>
          <w:lang w:val="en-US" w:eastAsia="zh-CN"/>
        </w:rPr>
      </w:pPr>
    </w:p>
    <w:p w14:paraId="1118CD32">
      <w:pPr>
        <w:snapToGrid w:val="0"/>
        <w:spacing w:line="520" w:lineRule="exact"/>
        <w:ind w:firstLine="420" w:firstLineChars="200"/>
        <w:rPr>
          <w:rFonts w:hint="eastAsia" w:ascii="宋体" w:hAnsi="宋体" w:eastAsia="宋体" w:cs="宋体"/>
          <w:color w:val="FF0000"/>
          <w:szCs w:val="28"/>
          <w:lang w:val="en-US" w:eastAsia="zh-CN"/>
        </w:rPr>
      </w:pPr>
    </w:p>
    <w:p w14:paraId="14955B80">
      <w:pPr>
        <w:spacing w:line="400" w:lineRule="exact"/>
        <w:rPr>
          <w:rFonts w:hint="default" w:ascii="楷体" w:hAnsi="楷体" w:eastAsia="楷体" w:cs="楷体"/>
          <w:b/>
          <w:kern w:val="0"/>
          <w:sz w:val="24"/>
          <w:szCs w:val="24"/>
          <w:lang w:val="en-US" w:eastAsia="zh-CN"/>
        </w:rPr>
      </w:pPr>
    </w:p>
    <w:p w14:paraId="1D0B142C">
      <w:pPr>
        <w:spacing w:line="400" w:lineRule="exact"/>
        <w:rPr>
          <w:rFonts w:hint="eastAsia" w:ascii="楷体" w:hAnsi="楷体" w:eastAsia="楷体" w:cs="楷体"/>
          <w:b/>
          <w:kern w:val="0"/>
          <w:sz w:val="24"/>
          <w:szCs w:val="24"/>
        </w:rPr>
      </w:pPr>
    </w:p>
    <w:p w14:paraId="266B8260">
      <w:pPr>
        <w:spacing w:line="400" w:lineRule="exact"/>
        <w:rPr>
          <w:rFonts w:hint="eastAsia" w:ascii="楷体" w:hAnsi="楷体" w:eastAsia="楷体" w:cs="楷体"/>
          <w:b/>
          <w:kern w:val="0"/>
          <w:sz w:val="24"/>
          <w:szCs w:val="24"/>
        </w:rPr>
      </w:pPr>
    </w:p>
    <w:p w14:paraId="7144F0DE">
      <w:pPr>
        <w:spacing w:line="400" w:lineRule="exact"/>
        <w:rPr>
          <w:rFonts w:hint="eastAsia" w:ascii="楷体" w:hAnsi="楷体" w:eastAsia="楷体" w:cs="楷体"/>
          <w:b/>
          <w:kern w:val="0"/>
          <w:sz w:val="24"/>
          <w:szCs w:val="24"/>
        </w:rPr>
      </w:pPr>
    </w:p>
    <w:p w14:paraId="36024079">
      <w:pPr>
        <w:spacing w:line="400" w:lineRule="exact"/>
        <w:rPr>
          <w:rFonts w:hint="eastAsia" w:ascii="楷体" w:hAnsi="楷体" w:eastAsia="楷体" w:cs="楷体"/>
          <w:b/>
          <w:kern w:val="0"/>
          <w:sz w:val="24"/>
          <w:szCs w:val="24"/>
        </w:rPr>
      </w:pPr>
    </w:p>
    <w:p w14:paraId="4E3223FE">
      <w:pPr>
        <w:spacing w:line="400" w:lineRule="exact"/>
        <w:rPr>
          <w:rFonts w:hint="eastAsia" w:ascii="楷体" w:hAnsi="楷体" w:eastAsia="楷体" w:cs="楷体"/>
          <w:b/>
          <w:kern w:val="0"/>
          <w:sz w:val="24"/>
          <w:szCs w:val="24"/>
        </w:rPr>
      </w:pPr>
    </w:p>
    <w:p w14:paraId="59AFE08F">
      <w:pPr>
        <w:spacing w:line="400" w:lineRule="exact"/>
        <w:rPr>
          <w:rFonts w:hint="eastAsia" w:ascii="楷体" w:hAnsi="楷体" w:eastAsia="楷体" w:cs="楷体"/>
          <w:b/>
          <w:kern w:val="0"/>
          <w:sz w:val="24"/>
          <w:szCs w:val="24"/>
        </w:rPr>
      </w:pPr>
    </w:p>
    <w:p w14:paraId="3E1FA912">
      <w:pPr>
        <w:spacing w:line="400" w:lineRule="exact"/>
        <w:rPr>
          <w:rFonts w:hint="eastAsia" w:ascii="楷体" w:hAnsi="楷体" w:eastAsia="楷体" w:cs="楷体"/>
          <w:b/>
          <w:kern w:val="0"/>
          <w:sz w:val="24"/>
          <w:szCs w:val="24"/>
        </w:rPr>
      </w:pPr>
    </w:p>
    <w:p w14:paraId="379821D6">
      <w:pPr>
        <w:spacing w:line="400" w:lineRule="exact"/>
        <w:rPr>
          <w:rFonts w:hint="eastAsia" w:ascii="楷体" w:hAnsi="楷体" w:eastAsia="楷体" w:cs="楷体"/>
          <w:b/>
          <w:kern w:val="0"/>
          <w:sz w:val="24"/>
          <w:szCs w:val="24"/>
        </w:rPr>
      </w:pPr>
    </w:p>
    <w:p w14:paraId="0B43560C">
      <w:pPr>
        <w:spacing w:line="400" w:lineRule="exact"/>
        <w:rPr>
          <w:rFonts w:hint="eastAsia" w:ascii="楷体" w:hAnsi="楷体" w:eastAsia="楷体" w:cs="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p w14:paraId="2443424C"/>
    <w:p w14:paraId="3125D7D9"/>
    <w:p w14:paraId="74224CD8"/>
    <w:p w14:paraId="566B01A1"/>
    <w:p w14:paraId="05891BA1"/>
    <w:p w14:paraId="6037AD2E"/>
    <w:p w14:paraId="655484A3"/>
    <w:p w14:paraId="60000EB7"/>
    <w:p w14:paraId="2DECED18"/>
    <w:p w14:paraId="1774CB75"/>
    <w:p w14:paraId="13D0FCFA"/>
    <w:p w14:paraId="53F95130"/>
    <w:p w14:paraId="1DBACBEF"/>
    <w:p w14:paraId="611D7A14"/>
    <w:p w14:paraId="6AF51F48"/>
    <w:p w14:paraId="72F9F96F"/>
    <w:p w14:paraId="583428E9"/>
    <w:p w14:paraId="02F2B19D"/>
    <w:p w14:paraId="4389DD96">
      <w:pPr>
        <w:rPr>
          <w:rFonts w:hint="default"/>
          <w:lang w:val="en-US" w:eastAsia="zh-CN"/>
        </w:rPr>
      </w:pPr>
    </w:p>
    <w:sectPr>
      <w:headerReference r:id="rId3" w:type="default"/>
      <w:footerReference r:id="rId4" w:type="default"/>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4F71"/>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4767C6E"/>
    <w:rsid w:val="0559183C"/>
    <w:rsid w:val="056D55A3"/>
    <w:rsid w:val="057021F6"/>
    <w:rsid w:val="05A045D0"/>
    <w:rsid w:val="05D9472B"/>
    <w:rsid w:val="08AC59F4"/>
    <w:rsid w:val="09291FBE"/>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5306879"/>
    <w:rsid w:val="16EB23BC"/>
    <w:rsid w:val="16F2564D"/>
    <w:rsid w:val="171C0087"/>
    <w:rsid w:val="17312619"/>
    <w:rsid w:val="179C3BE2"/>
    <w:rsid w:val="17E94F05"/>
    <w:rsid w:val="188A329A"/>
    <w:rsid w:val="191775ED"/>
    <w:rsid w:val="19445F08"/>
    <w:rsid w:val="1A2E5EEA"/>
    <w:rsid w:val="1A3A71B0"/>
    <w:rsid w:val="1BBE2F64"/>
    <w:rsid w:val="1BEC41F7"/>
    <w:rsid w:val="1BF27CFA"/>
    <w:rsid w:val="1C5732DE"/>
    <w:rsid w:val="1CF71C0F"/>
    <w:rsid w:val="1D7414B2"/>
    <w:rsid w:val="1DD925F6"/>
    <w:rsid w:val="1E002D45"/>
    <w:rsid w:val="1EB51D82"/>
    <w:rsid w:val="1F2264C8"/>
    <w:rsid w:val="1F784B5D"/>
    <w:rsid w:val="1FF64400"/>
    <w:rsid w:val="202C6073"/>
    <w:rsid w:val="20C02160"/>
    <w:rsid w:val="219F63D1"/>
    <w:rsid w:val="21A34113"/>
    <w:rsid w:val="21B87E1B"/>
    <w:rsid w:val="21D818E3"/>
    <w:rsid w:val="224C6742"/>
    <w:rsid w:val="22E03145"/>
    <w:rsid w:val="23BA1BE8"/>
    <w:rsid w:val="23E17EC3"/>
    <w:rsid w:val="243855EC"/>
    <w:rsid w:val="250F6255"/>
    <w:rsid w:val="26DD78FA"/>
    <w:rsid w:val="27014AAB"/>
    <w:rsid w:val="2790071A"/>
    <w:rsid w:val="27D03788"/>
    <w:rsid w:val="282835C4"/>
    <w:rsid w:val="29A924E3"/>
    <w:rsid w:val="2A181417"/>
    <w:rsid w:val="2ABE1FBE"/>
    <w:rsid w:val="2B552FB1"/>
    <w:rsid w:val="2B7D190E"/>
    <w:rsid w:val="2B8A00F2"/>
    <w:rsid w:val="2C300C99"/>
    <w:rsid w:val="2C6D3C9C"/>
    <w:rsid w:val="2CB76CC5"/>
    <w:rsid w:val="2D573348"/>
    <w:rsid w:val="2DA059AB"/>
    <w:rsid w:val="2DF301D1"/>
    <w:rsid w:val="2E420FB1"/>
    <w:rsid w:val="2EE26290"/>
    <w:rsid w:val="2F3A598B"/>
    <w:rsid w:val="2F687BFA"/>
    <w:rsid w:val="30DC319E"/>
    <w:rsid w:val="31AC1C27"/>
    <w:rsid w:val="322A2F4C"/>
    <w:rsid w:val="325925CC"/>
    <w:rsid w:val="326052ED"/>
    <w:rsid w:val="32704BAB"/>
    <w:rsid w:val="33C702F3"/>
    <w:rsid w:val="33CC347E"/>
    <w:rsid w:val="33D25E81"/>
    <w:rsid w:val="355377A7"/>
    <w:rsid w:val="359202CF"/>
    <w:rsid w:val="36344523"/>
    <w:rsid w:val="366003CD"/>
    <w:rsid w:val="36B14C86"/>
    <w:rsid w:val="36E42DAC"/>
    <w:rsid w:val="36FC0CE7"/>
    <w:rsid w:val="386D6DD1"/>
    <w:rsid w:val="38C90653"/>
    <w:rsid w:val="3B47390A"/>
    <w:rsid w:val="3B501CC9"/>
    <w:rsid w:val="3B6C3370"/>
    <w:rsid w:val="3B8B7D39"/>
    <w:rsid w:val="3C1E634F"/>
    <w:rsid w:val="3C5A141B"/>
    <w:rsid w:val="3D0C4E0B"/>
    <w:rsid w:val="3D424389"/>
    <w:rsid w:val="3E5315DD"/>
    <w:rsid w:val="3EFA4553"/>
    <w:rsid w:val="3F0A537A"/>
    <w:rsid w:val="3F4D4ACF"/>
    <w:rsid w:val="3F8B194E"/>
    <w:rsid w:val="4021297B"/>
    <w:rsid w:val="40424127"/>
    <w:rsid w:val="410C28BC"/>
    <w:rsid w:val="41436921"/>
    <w:rsid w:val="415B7EBD"/>
    <w:rsid w:val="41D659E7"/>
    <w:rsid w:val="42D71A17"/>
    <w:rsid w:val="431D7359"/>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BCF0656"/>
    <w:rsid w:val="4C0F2ADB"/>
    <w:rsid w:val="4CA46E0E"/>
    <w:rsid w:val="4DAB5F7A"/>
    <w:rsid w:val="4E280B54"/>
    <w:rsid w:val="4E564138"/>
    <w:rsid w:val="4F094BDF"/>
    <w:rsid w:val="4F361873"/>
    <w:rsid w:val="4FC50B4A"/>
    <w:rsid w:val="4FE237A9"/>
    <w:rsid w:val="50C80BF1"/>
    <w:rsid w:val="516A7EFA"/>
    <w:rsid w:val="51823496"/>
    <w:rsid w:val="5196484B"/>
    <w:rsid w:val="521265C8"/>
    <w:rsid w:val="529214B7"/>
    <w:rsid w:val="52CF1BE3"/>
    <w:rsid w:val="53FE0C17"/>
    <w:rsid w:val="54140875"/>
    <w:rsid w:val="541630EF"/>
    <w:rsid w:val="542720D3"/>
    <w:rsid w:val="55685D11"/>
    <w:rsid w:val="556B5310"/>
    <w:rsid w:val="55AF63B2"/>
    <w:rsid w:val="55F54236"/>
    <w:rsid w:val="5732516C"/>
    <w:rsid w:val="57534CD3"/>
    <w:rsid w:val="595B6AA6"/>
    <w:rsid w:val="5B8F2A37"/>
    <w:rsid w:val="5BF154A0"/>
    <w:rsid w:val="5C4E28F2"/>
    <w:rsid w:val="5C7834CB"/>
    <w:rsid w:val="5C8F2823"/>
    <w:rsid w:val="5CC24842"/>
    <w:rsid w:val="5CC26E3C"/>
    <w:rsid w:val="5DEF1EB3"/>
    <w:rsid w:val="5E4C0965"/>
    <w:rsid w:val="5E734892"/>
    <w:rsid w:val="5EE73FCE"/>
    <w:rsid w:val="5FA33501"/>
    <w:rsid w:val="6025035B"/>
    <w:rsid w:val="603E3007"/>
    <w:rsid w:val="604A33D1"/>
    <w:rsid w:val="6074799E"/>
    <w:rsid w:val="609B4960"/>
    <w:rsid w:val="60F375C4"/>
    <w:rsid w:val="615B5920"/>
    <w:rsid w:val="61DD27DC"/>
    <w:rsid w:val="62A56FE4"/>
    <w:rsid w:val="62B45479"/>
    <w:rsid w:val="641C6E32"/>
    <w:rsid w:val="64354398"/>
    <w:rsid w:val="647645FA"/>
    <w:rsid w:val="649317EA"/>
    <w:rsid w:val="64BB489D"/>
    <w:rsid w:val="6577547F"/>
    <w:rsid w:val="657B7B5D"/>
    <w:rsid w:val="66246472"/>
    <w:rsid w:val="66522FDF"/>
    <w:rsid w:val="66BA2932"/>
    <w:rsid w:val="67080658"/>
    <w:rsid w:val="6713650F"/>
    <w:rsid w:val="67F228C3"/>
    <w:rsid w:val="683E7CBF"/>
    <w:rsid w:val="68585908"/>
    <w:rsid w:val="69160D95"/>
    <w:rsid w:val="6959079B"/>
    <w:rsid w:val="69DC45D5"/>
    <w:rsid w:val="69E77EE2"/>
    <w:rsid w:val="6A1C70E9"/>
    <w:rsid w:val="6A3D7B02"/>
    <w:rsid w:val="6B024FE4"/>
    <w:rsid w:val="6B4F3F91"/>
    <w:rsid w:val="6B9A34B2"/>
    <w:rsid w:val="6BF15048"/>
    <w:rsid w:val="6C2E3BA6"/>
    <w:rsid w:val="6C604A30"/>
    <w:rsid w:val="6D350F65"/>
    <w:rsid w:val="6DFF1C9E"/>
    <w:rsid w:val="6E91041D"/>
    <w:rsid w:val="6EA91C0A"/>
    <w:rsid w:val="6F064768"/>
    <w:rsid w:val="706758D9"/>
    <w:rsid w:val="70875508"/>
    <w:rsid w:val="70D71C94"/>
    <w:rsid w:val="71B06EB2"/>
    <w:rsid w:val="71C1726B"/>
    <w:rsid w:val="71C8684B"/>
    <w:rsid w:val="71DA72DB"/>
    <w:rsid w:val="72E74AAF"/>
    <w:rsid w:val="739E2EC6"/>
    <w:rsid w:val="750C4CA1"/>
    <w:rsid w:val="755A7130"/>
    <w:rsid w:val="758343B0"/>
    <w:rsid w:val="763D0E5A"/>
    <w:rsid w:val="76944BF2"/>
    <w:rsid w:val="772C162A"/>
    <w:rsid w:val="772D7A86"/>
    <w:rsid w:val="775A7F45"/>
    <w:rsid w:val="777C5014"/>
    <w:rsid w:val="77C84176"/>
    <w:rsid w:val="786D47D6"/>
    <w:rsid w:val="78EF58E5"/>
    <w:rsid w:val="79074B53"/>
    <w:rsid w:val="79154129"/>
    <w:rsid w:val="79393481"/>
    <w:rsid w:val="79823710"/>
    <w:rsid w:val="7A0B33E2"/>
    <w:rsid w:val="7A4A42A1"/>
    <w:rsid w:val="7B997F62"/>
    <w:rsid w:val="7BB65090"/>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田"/>
    <w:basedOn w:val="1"/>
    <w:qFormat/>
    <w:uiPriority w:val="0"/>
    <w:rPr>
      <w:rFonts w:ascii="Times New Roman" w:hAnsi="Times New Roman" w:eastAsia="仿宋" w:cs="Times New Roman"/>
      <w:sz w:val="28"/>
      <w:szCs w:val="24"/>
    </w:rPr>
  </w:style>
  <w:style w:type="paragraph" w:customStyle="1" w:styleId="36">
    <w:name w:val="Table Text"/>
    <w:basedOn w:val="1"/>
    <w:unhideWhenUsed/>
    <w:qFormat/>
    <w:uiPriority w:val="0"/>
    <w:pPr>
      <w:spacing w:beforeLines="0" w:afterLines="0"/>
    </w:pPr>
    <w:rPr>
      <w:rFonts w:hint="eastAsia" w:ascii="方正仿宋_GBK" w:hAnsi="方正仿宋_GBK" w:eastAsia="方正仿宋_GBK" w:cs="方正仿宋_GBK"/>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1852</Words>
  <Characters>1968</Characters>
  <Lines>12</Lines>
  <Paragraphs>3</Paragraphs>
  <TotalTime>1</TotalTime>
  <ScaleCrop>false</ScaleCrop>
  <LinksUpToDate>false</LinksUpToDate>
  <CharactersWithSpaces>2105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2026-06-11T01:19:49Z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