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6FW061</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信息中心下一代防火墙维护服务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重庆市永川区</w:t>
            </w:r>
            <w:r>
              <w:rPr>
                <w:rFonts w:hint="eastAsia" w:ascii="楷体" w:hAnsi="楷体" w:eastAsia="楷体"/>
                <w:color w:val="000000" w:themeColor="text1"/>
                <w:sz w:val="24"/>
                <w:szCs w:val="24"/>
                <w:lang w:eastAsia="zh-CN"/>
              </w:rPr>
              <w:t>重医附属永川医院兴龙湖院区全科楼</w:t>
            </w:r>
            <w:r>
              <w:rPr>
                <w:rFonts w:hint="eastAsia" w:ascii="楷体" w:hAnsi="楷体" w:eastAsia="楷体"/>
                <w:color w:val="000000" w:themeColor="text1"/>
                <w:sz w:val="24"/>
                <w:szCs w:val="24"/>
                <w:lang w:val="en-US" w:eastAsia="zh-CN"/>
              </w:rPr>
              <w:t>21楼采购办</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color w:val="000000" w:themeColor="text1"/>
                <w:sz w:val="24"/>
                <w:szCs w:val="24"/>
              </w:rPr>
              <w:t>023-</w:t>
            </w:r>
            <w:r>
              <w:rPr>
                <w:rFonts w:hint="eastAsia" w:ascii="楷体" w:hAnsi="楷体" w:eastAsia="楷体"/>
                <w:color w:val="000000" w:themeColor="text1"/>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29</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7</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1</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信息中心下一代防火墙维护服务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eastAsia" w:ascii="楷体" w:hAnsi="楷体" w:eastAsia="微软雅黑"/>
                <w:color w:val="000000" w:themeColor="text1"/>
                <w:sz w:val="24"/>
                <w:szCs w:val="24"/>
                <w:lang w:val="en-US" w:eastAsia="zh-CN"/>
              </w:rPr>
            </w:pPr>
            <w:r>
              <w:rPr>
                <w:rFonts w:hint="eastAsia" w:ascii="楷体" w:hAnsi="楷体" w:eastAsia="楷体"/>
                <w:color w:val="000000" w:themeColor="text1"/>
                <w:sz w:val="24"/>
                <w:szCs w:val="24"/>
                <w:lang w:val="en-US" w:eastAsia="zh-CN"/>
              </w:rPr>
              <w:t>总预算为34608元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kern w:val="2"/>
          <w:sz w:val="21"/>
          <w:szCs w:val="28"/>
          <w:lang w:val="en-US" w:eastAsia="zh-CN" w:bidi="ar-SA"/>
        </w:rPr>
        <w:t>一、</w:t>
      </w:r>
      <w:r>
        <w:rPr>
          <w:rFonts w:hint="eastAsia" w:ascii="宋体" w:hAnsi="宋体" w:eastAsia="宋体" w:cs="宋体"/>
          <w:szCs w:val="28"/>
          <w:lang w:val="en-US" w:eastAsia="zh-CN"/>
        </w:rPr>
        <w:t>服务需求</w:t>
      </w:r>
    </w:p>
    <w:p w14:paraId="21DB44DF">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（一）服务范围、要求及标准</w:t>
      </w:r>
    </w:p>
    <w:p w14:paraId="574D8C3E">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本项目针对医院现用的深信服AF-2000-B2132下一代防火墙，采购三年原厂授权维保服务，确保维保期内设备软硬件稳定运行、安全特征库与规则库持续更新、故障及时响应处置，并提供相关技术支撑服务，保障设备始终处于最佳防护状态，不因授权到期、软件版本落后等因素导致运行异常。服务商须协助医院在防火墙上配置安全策略，所配置策略须满足上级监管部门关于等级保护及关键信息基础设施防护等合规性要求。</w:t>
      </w:r>
    </w:p>
    <w:p w14:paraId="41ECB993">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（二）服务需求</w:t>
      </w:r>
    </w:p>
    <w:p w14:paraId="1B55B384">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1.防火墙软件维保服务</w:t>
      </w:r>
    </w:p>
    <w:p w14:paraId="05AC5399">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服务期内，中标人须保障安全特征库与规则库持续更新，并根据我院安全需求对防火墙软件版本进行必要升级。无论升级至何种版本，均须确保以下功能完全可用：</w:t>
      </w:r>
    </w:p>
    <w:p w14:paraId="50CF721F">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①软件配置：配置WEB应用防护识别库、IPS特征库、僵尸网络防护库、URL&amp;应用识别库定期更新，保持设备具备检测防御最新威胁的能力，提供网关杀毒许可。至少提供3年软件升级服务。</w:t>
      </w:r>
    </w:p>
    <w:p w14:paraId="170249A5">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②部署方式：支持路由模式、透明模式、虚拟网线模式、旁路镜像模式等多种部署方式。</w:t>
      </w:r>
    </w:p>
    <w:p w14:paraId="7F764444">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③支持静态路由、策略路由及动态路由。策略路由支持自定义其优先级，动态路由应至少支持RIP、OSPF、BGP协议；必须支持静态和动态多播路由。</w:t>
      </w:r>
    </w:p>
    <w:p w14:paraId="236D8881">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④支持全面的NAT转换配置，包括包括一对一，一对多，多对一的源、目的地址转换。</w:t>
      </w:r>
    </w:p>
    <w:p w14:paraId="78719D04">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⑤支持漏洞防护功能，支持基于FTP、HTTP、IMAP、POP3、SMB、SMTP等应用协议的漏洞防护。</w:t>
      </w:r>
    </w:p>
    <w:p w14:paraId="3C8C202C">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⑥支持流量控制，支持基于IP地址、用户、应用、时间设置流量控制策略，保证关键业务带宽日常需求。</w:t>
      </w:r>
    </w:p>
    <w:p w14:paraId="47FA8FE0">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⑦支持IPv4/IPv6双栈工作模式，以适应IPv6发展趋势。</w:t>
      </w:r>
    </w:p>
    <w:p w14:paraId="315D0D4B">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⑧具备3种以上的用户认证方式,包含但不限于单点登录、本地账号密码、外部账号密码认证。</w:t>
      </w:r>
    </w:p>
    <w:p w14:paraId="3D96146D">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⑨支持基于文件传输方式、文件类型等维度的管控策略配置。</w:t>
      </w:r>
    </w:p>
    <w:p w14:paraId="15198C72">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⑩支持三权分立功能，根据管理员权限分为安全管理员、审计员、系统管理员三种角色。</w:t>
      </w:r>
    </w:p>
    <w:p w14:paraId="280A6CD7">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2.防火墙硬件维保服务</w:t>
      </w:r>
    </w:p>
    <w:p w14:paraId="13475A63">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①</w:t>
      </w:r>
      <w:r>
        <w:rPr>
          <w:rFonts w:hint="default" w:ascii="宋体" w:hAnsi="宋体" w:eastAsia="宋体" w:cs="宋体"/>
          <w:szCs w:val="28"/>
          <w:lang w:val="en-US" w:eastAsia="zh-CN"/>
        </w:rPr>
        <w:t>备件更换：设备零配件因非人为原因损坏的，中标人须无条件免费更换原厂配件，确保设备迅速恢复至正常运行状态，更换费用已包含在本次投标报价中，采购人不再另行支付。</w:t>
      </w:r>
    </w:p>
    <w:p w14:paraId="3CAB1DBB">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②</w:t>
      </w:r>
      <w:r>
        <w:rPr>
          <w:rFonts w:hint="default" w:ascii="宋体" w:hAnsi="宋体" w:eastAsia="宋体" w:cs="宋体"/>
          <w:szCs w:val="28"/>
          <w:lang w:val="en-US" w:eastAsia="zh-CN"/>
        </w:rPr>
        <w:t>巡检服务：每季度至少开展一次设备健康巡检，内容包括但不限于硬件状态（电源、风扇、板卡、存储介质等）检查、日志审计、配置核查、运行环境评估，并出具巡检报告，对发现的问题提出处置建议并跟进落实。</w:t>
      </w:r>
    </w:p>
    <w:p w14:paraId="3D871A4E">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③</w:t>
      </w:r>
      <w:r>
        <w:rPr>
          <w:rFonts w:hint="default" w:ascii="宋体" w:hAnsi="宋体" w:eastAsia="宋体" w:cs="宋体"/>
          <w:szCs w:val="28"/>
          <w:lang w:val="en-US" w:eastAsia="zh-CN"/>
        </w:rPr>
        <w:t>应急响应：设备出现硬件故障</w:t>
      </w:r>
      <w:r>
        <w:rPr>
          <w:rFonts w:hint="eastAsia" w:ascii="宋体" w:hAnsi="宋体" w:eastAsia="宋体" w:cs="宋体"/>
          <w:szCs w:val="28"/>
          <w:lang w:val="en-US" w:eastAsia="zh-CN"/>
        </w:rPr>
        <w:t>且远程不能解决</w:t>
      </w:r>
      <w:r>
        <w:rPr>
          <w:rFonts w:hint="default" w:ascii="宋体" w:hAnsi="宋体" w:eastAsia="宋体" w:cs="宋体"/>
          <w:szCs w:val="28"/>
          <w:lang w:val="en-US" w:eastAsia="zh-CN"/>
        </w:rPr>
        <w:t>时，须在</w:t>
      </w:r>
      <w:r>
        <w:rPr>
          <w:rFonts w:hint="eastAsia" w:ascii="宋体" w:hAnsi="宋体" w:eastAsia="宋体" w:cs="宋体"/>
          <w:szCs w:val="28"/>
          <w:lang w:val="en-US" w:eastAsia="zh-CN"/>
        </w:rPr>
        <w:t>2小时</w:t>
      </w:r>
      <w:r>
        <w:rPr>
          <w:rFonts w:hint="default" w:ascii="宋体" w:hAnsi="宋体" w:eastAsia="宋体" w:cs="宋体"/>
          <w:szCs w:val="28"/>
          <w:lang w:val="en-US" w:eastAsia="zh-CN"/>
        </w:rPr>
        <w:t>内到达现场处置，重大故障</w:t>
      </w:r>
      <w:r>
        <w:rPr>
          <w:rFonts w:hint="eastAsia" w:ascii="宋体" w:hAnsi="宋体" w:eastAsia="宋体" w:cs="宋体"/>
          <w:szCs w:val="28"/>
          <w:lang w:val="en-US" w:eastAsia="zh-CN"/>
        </w:rPr>
        <w:t>需</w:t>
      </w:r>
      <w:r>
        <w:rPr>
          <w:rFonts w:hint="default" w:ascii="宋体" w:hAnsi="宋体" w:eastAsia="宋体" w:cs="宋体"/>
          <w:szCs w:val="28"/>
          <w:lang w:val="en-US" w:eastAsia="zh-CN"/>
        </w:rPr>
        <w:t>提供备机替换服务，确保业务连续性不受影响。</w:t>
      </w:r>
    </w:p>
    <w:p w14:paraId="054D15B3">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④</w:t>
      </w:r>
      <w:r>
        <w:rPr>
          <w:rFonts w:hint="default" w:ascii="宋体" w:hAnsi="宋体" w:eastAsia="宋体" w:cs="宋体"/>
          <w:szCs w:val="28"/>
          <w:lang w:val="en-US" w:eastAsia="zh-CN"/>
        </w:rPr>
        <w:t>移机上下架服务：</w:t>
      </w:r>
      <w:r>
        <w:rPr>
          <w:rFonts w:hint="eastAsia" w:ascii="宋体" w:hAnsi="宋体" w:eastAsia="宋体" w:cs="宋体"/>
          <w:szCs w:val="28"/>
          <w:lang w:val="en-US" w:eastAsia="zh-CN"/>
        </w:rPr>
        <w:t>服务</w:t>
      </w:r>
      <w:r>
        <w:rPr>
          <w:rFonts w:hint="default" w:ascii="宋体" w:hAnsi="宋体" w:eastAsia="宋体" w:cs="宋体"/>
          <w:szCs w:val="28"/>
          <w:lang w:val="en-US" w:eastAsia="zh-CN"/>
        </w:rPr>
        <w:t>期内，根据我院机房布局调整、设备搬迁等需求，中标人须提供不限次数的免费移机上下架服务，包括设备的拆卸、搬运、安装上架、线缆连接及加电调试等，确保设备迁移后正常运行。</w:t>
      </w:r>
    </w:p>
    <w:p w14:paraId="223BE436">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3.安全配置服务</w:t>
      </w:r>
    </w:p>
    <w:p w14:paraId="6A0308C1">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①</w:t>
      </w:r>
      <w:r>
        <w:rPr>
          <w:rFonts w:hint="default" w:ascii="宋体" w:hAnsi="宋体" w:eastAsia="宋体" w:cs="宋体"/>
          <w:szCs w:val="28"/>
          <w:lang w:val="en-US" w:eastAsia="zh-CN"/>
        </w:rPr>
        <w:t>中标人须根据我院业务需求及网络安全态势变化，提供不限次数的安全策略配置与调整服务，具体内容包括但不限于防火墙访问控制策略、NAT转换规则、应用识别策略、流量控制策略、入侵防护策略等参数的配置、优化与变更。</w:t>
      </w:r>
    </w:p>
    <w:p w14:paraId="36B5550D">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②</w:t>
      </w:r>
      <w:r>
        <w:rPr>
          <w:rFonts w:hint="default" w:ascii="宋体" w:hAnsi="宋体" w:eastAsia="宋体" w:cs="宋体"/>
          <w:szCs w:val="28"/>
          <w:lang w:val="en-US" w:eastAsia="zh-CN"/>
        </w:rPr>
        <w:t>所有策略调整须严格遵循上级监管部门关于网络安全等级保护、关键信息基础设施防护及医疗行业数据安全等相关法律法规及合规性要求，确保安全策略始终处于合规状态。</w:t>
      </w:r>
    </w:p>
    <w:p w14:paraId="2BF189A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二、商务需求</w:t>
      </w:r>
    </w:p>
    <w:p w14:paraId="4A9DC6A2">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1.服务地点及考核方式</w:t>
      </w:r>
    </w:p>
    <w:p w14:paraId="5141DE75">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①服务地点：重庆医科大学附属永川医院采购人指定地点。</w:t>
      </w:r>
    </w:p>
    <w:p w14:paraId="2AD06AFD">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②考核方式：服务期内，采购人每月对中标人合同履行能力、维保服务质量等进行确认(包含但不限于响应维护的及时性、巡查报告质量及维护服务记录情况)，中标人有义务配合采购人进行合同确认工作。若确认合格，合同继续履行；若确认不合格，采购人可随时终止合同。</w:t>
      </w:r>
    </w:p>
    <w:p w14:paraId="1B7DDC0E">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报价方式：本次报价须为人民币报价且为包干价，包含：完成本项目所需的技术服务费、人工费及提供服务所需的设备或货物购买（制造）费、辅材费、授权费及各种应纳的税费等完成本项目的所有费用。因投标人自身原因造成漏报、少报皆由其自行承担责任，采购人不再补偿。</w:t>
      </w:r>
    </w:p>
    <w:p w14:paraId="66D10A07">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3.其他要求：①</w:t>
      </w:r>
      <w:r>
        <w:rPr>
          <w:rFonts w:hint="default" w:ascii="宋体" w:hAnsi="宋体" w:eastAsia="宋体" w:cs="宋体"/>
          <w:szCs w:val="28"/>
          <w:lang w:val="en-US" w:eastAsia="zh-CN"/>
        </w:rPr>
        <w:t>根据投标人的技术能力、服务响应时间、维护保养情况等进行考核，如未达到合同约定要求用户可随时终止合同。</w:t>
      </w:r>
    </w:p>
    <w:p w14:paraId="4B70DCC3">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②</w:t>
      </w:r>
      <w:r>
        <w:rPr>
          <w:rFonts w:hint="default" w:ascii="宋体" w:hAnsi="宋体" w:eastAsia="宋体" w:cs="宋体"/>
          <w:szCs w:val="28"/>
          <w:lang w:val="en-US" w:eastAsia="zh-CN"/>
        </w:rPr>
        <w:t>在远程服务或系统升级服务时，必须向院方提出申请同意后才能实施，且投标单位对医院的信息安全和数据安全负全责，在服务工作中造成的影响或损失由投标单位负全责。</w:t>
      </w:r>
    </w:p>
    <w:p w14:paraId="52D603C9">
      <w:pPr>
        <w:numPr>
          <w:ilvl w:val="0"/>
          <w:numId w:val="0"/>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③投标人须提供所投防火墙设备原厂商出具</w:t>
      </w:r>
      <w:bookmarkStart w:id="0" w:name="_GoBack"/>
      <w:bookmarkEnd w:id="0"/>
      <w:r>
        <w:rPr>
          <w:rFonts w:hint="eastAsia" w:ascii="宋体" w:hAnsi="宋体" w:eastAsia="宋体" w:cs="宋体"/>
          <w:szCs w:val="28"/>
          <w:lang w:val="en-US" w:eastAsia="zh-CN"/>
        </w:rPr>
        <w:t>的服务授权或服务承诺函（加盖设备原厂商公章）。</w:t>
      </w:r>
    </w:p>
    <w:p w14:paraId="32CDE0C2">
      <w:pPr>
        <w:numPr>
          <w:ilvl w:val="0"/>
          <w:numId w:val="0"/>
        </w:num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4.付款方式：甲方以银行转账的方式支付。具体如下：每个服务年度满后，乙方提供发票、合同复印件、维护维俢报告给甲方，甲方在60天内支付服务年度的维保费全款。</w:t>
      </w:r>
    </w:p>
    <w:p w14:paraId="5AAB715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方正仿宋_GBK" w:hAnsi="方正仿宋_GBK" w:eastAsia="方正仿宋_GBK" w:cs="Times New Roman"/>
          <w:sz w:val="28"/>
          <w:szCs w:val="28"/>
          <w:lang w:val="en-US" w:eastAsia="zh-CN"/>
        </w:rPr>
      </w:pPr>
    </w:p>
    <w:p w14:paraId="1E76A956">
      <w:pPr>
        <w:spacing w:line="400" w:lineRule="exact"/>
        <w:rPr>
          <w:rFonts w:hint="eastAsia" w:ascii="楷体" w:hAnsi="楷体" w:eastAsia="楷体" w:cs="楷体"/>
          <w:b/>
          <w:kern w:val="0"/>
          <w:sz w:val="24"/>
          <w:szCs w:val="24"/>
        </w:rPr>
      </w:pPr>
    </w:p>
    <w:p w14:paraId="6936F7B2">
      <w:pPr>
        <w:spacing w:line="400" w:lineRule="exact"/>
        <w:rPr>
          <w:rFonts w:hint="eastAsia" w:ascii="楷体" w:hAnsi="楷体" w:eastAsia="楷体" w:cs="楷体"/>
          <w:b/>
          <w:kern w:val="0"/>
          <w:sz w:val="24"/>
          <w:szCs w:val="24"/>
        </w:rPr>
      </w:pPr>
    </w:p>
    <w:p w14:paraId="2C5A6C2C">
      <w:pPr>
        <w:spacing w:line="400" w:lineRule="exact"/>
        <w:rPr>
          <w:rFonts w:hint="eastAsia" w:ascii="楷体" w:hAnsi="楷体" w:eastAsia="楷体" w:cs="楷体"/>
          <w:b/>
          <w:kern w:val="0"/>
          <w:sz w:val="24"/>
          <w:szCs w:val="24"/>
        </w:rPr>
      </w:pPr>
    </w:p>
    <w:p w14:paraId="5D33F166">
      <w:pPr>
        <w:spacing w:line="400" w:lineRule="exact"/>
        <w:rPr>
          <w:rFonts w:hint="eastAsia" w:ascii="楷体" w:hAnsi="楷体" w:eastAsia="楷体" w:cs="楷体"/>
          <w:b/>
          <w:kern w:val="0"/>
          <w:sz w:val="24"/>
          <w:szCs w:val="24"/>
        </w:rPr>
      </w:pPr>
    </w:p>
    <w:p w14:paraId="2FEC0316">
      <w:pPr>
        <w:spacing w:line="400" w:lineRule="exact"/>
        <w:rPr>
          <w:rFonts w:hint="eastAsia" w:ascii="楷体" w:hAnsi="楷体" w:eastAsia="楷体" w:cs="楷体"/>
          <w:b/>
          <w:kern w:val="0"/>
          <w:sz w:val="24"/>
          <w:szCs w:val="24"/>
        </w:rPr>
      </w:pPr>
    </w:p>
    <w:p w14:paraId="12040965">
      <w:pPr>
        <w:spacing w:line="400" w:lineRule="exact"/>
        <w:rPr>
          <w:rFonts w:hint="eastAsia" w:ascii="楷体" w:hAnsi="楷体" w:eastAsia="楷体" w:cs="楷体"/>
          <w:b/>
          <w:kern w:val="0"/>
          <w:sz w:val="24"/>
          <w:szCs w:val="24"/>
        </w:rPr>
      </w:pPr>
    </w:p>
    <w:p w14:paraId="64C8B703">
      <w:pPr>
        <w:spacing w:line="400" w:lineRule="exact"/>
        <w:rPr>
          <w:rFonts w:hint="eastAsia" w:ascii="楷体" w:hAnsi="楷体" w:eastAsia="楷体" w:cs="楷体"/>
          <w:b/>
          <w:kern w:val="0"/>
          <w:sz w:val="24"/>
          <w:szCs w:val="24"/>
        </w:rPr>
      </w:pPr>
    </w:p>
    <w:p w14:paraId="435BD5AA">
      <w:pPr>
        <w:spacing w:line="400" w:lineRule="exact"/>
        <w:rPr>
          <w:rFonts w:hint="eastAsia" w:ascii="楷体" w:hAnsi="楷体" w:eastAsia="楷体" w:cs="楷体"/>
          <w:b/>
          <w:kern w:val="0"/>
          <w:sz w:val="24"/>
          <w:szCs w:val="24"/>
        </w:rPr>
      </w:pPr>
    </w:p>
    <w:p w14:paraId="6C906FE8">
      <w:pPr>
        <w:spacing w:line="400" w:lineRule="exact"/>
        <w:rPr>
          <w:rFonts w:hint="eastAsia" w:ascii="楷体" w:hAnsi="楷体" w:eastAsia="楷体" w:cs="楷体"/>
          <w:b/>
          <w:kern w:val="0"/>
          <w:sz w:val="24"/>
          <w:szCs w:val="24"/>
        </w:rPr>
      </w:pPr>
    </w:p>
    <w:p w14:paraId="1E0CF606">
      <w:pPr>
        <w:spacing w:line="400" w:lineRule="exact"/>
        <w:rPr>
          <w:rFonts w:hint="eastAsia" w:ascii="楷体" w:hAnsi="楷体" w:eastAsia="楷体" w:cs="楷体"/>
          <w:b/>
          <w:kern w:val="0"/>
          <w:sz w:val="24"/>
          <w:szCs w:val="24"/>
        </w:rPr>
      </w:pPr>
    </w:p>
    <w:p w14:paraId="1A55AE59">
      <w:pPr>
        <w:spacing w:line="400" w:lineRule="exact"/>
        <w:rPr>
          <w:rFonts w:hint="eastAsia" w:ascii="楷体" w:hAnsi="楷体" w:eastAsia="楷体" w:cs="楷体"/>
          <w:b/>
          <w:kern w:val="0"/>
          <w:sz w:val="24"/>
          <w:szCs w:val="24"/>
        </w:rPr>
      </w:pPr>
    </w:p>
    <w:p w14:paraId="39D114AC">
      <w:pPr>
        <w:spacing w:line="400" w:lineRule="exact"/>
        <w:rPr>
          <w:rFonts w:hint="eastAsia" w:ascii="楷体" w:hAnsi="楷体" w:eastAsia="楷体" w:cs="楷体"/>
          <w:b/>
          <w:kern w:val="0"/>
          <w:sz w:val="24"/>
          <w:szCs w:val="24"/>
        </w:rPr>
      </w:pPr>
    </w:p>
    <w:p w14:paraId="61C406E2">
      <w:pPr>
        <w:spacing w:line="400" w:lineRule="exact"/>
        <w:rPr>
          <w:rFonts w:hint="eastAsia" w:ascii="楷体" w:hAnsi="楷体" w:eastAsia="楷体" w:cs="楷体"/>
          <w:b/>
          <w:kern w:val="0"/>
          <w:sz w:val="24"/>
          <w:szCs w:val="24"/>
        </w:rPr>
      </w:pPr>
    </w:p>
    <w:p w14:paraId="4F0E73C0">
      <w:pPr>
        <w:spacing w:line="400" w:lineRule="exact"/>
        <w:rPr>
          <w:rFonts w:hint="eastAsia" w:ascii="楷体" w:hAnsi="楷体" w:eastAsia="楷体" w:cs="楷体"/>
          <w:b/>
          <w:kern w:val="0"/>
          <w:sz w:val="24"/>
          <w:szCs w:val="24"/>
        </w:rPr>
      </w:pPr>
    </w:p>
    <w:p w14:paraId="2FCCA9BF">
      <w:pPr>
        <w:spacing w:line="400" w:lineRule="exact"/>
        <w:rPr>
          <w:rFonts w:hint="eastAsia" w:ascii="楷体" w:hAnsi="楷体" w:eastAsia="楷体" w:cs="楷体"/>
          <w:b/>
          <w:kern w:val="0"/>
          <w:sz w:val="24"/>
          <w:szCs w:val="24"/>
        </w:rPr>
      </w:pPr>
    </w:p>
    <w:p w14:paraId="5702588D">
      <w:pPr>
        <w:spacing w:line="400" w:lineRule="exact"/>
        <w:rPr>
          <w:rFonts w:hint="eastAsia" w:ascii="楷体" w:hAnsi="楷体" w:eastAsia="楷体" w:cs="楷体"/>
          <w:b/>
          <w:kern w:val="0"/>
          <w:sz w:val="24"/>
          <w:szCs w:val="24"/>
        </w:rPr>
      </w:pPr>
    </w:p>
    <w:p w14:paraId="1D44FDC3">
      <w:pPr>
        <w:spacing w:line="400" w:lineRule="exact"/>
        <w:rPr>
          <w:rFonts w:hint="eastAsia" w:ascii="楷体" w:hAnsi="楷体" w:eastAsia="楷体" w:cs="楷体"/>
          <w:b/>
          <w:kern w:val="0"/>
          <w:sz w:val="24"/>
          <w:szCs w:val="24"/>
        </w:rPr>
      </w:pPr>
    </w:p>
    <w:p w14:paraId="23DCEE5B">
      <w:pPr>
        <w:spacing w:line="400" w:lineRule="exact"/>
        <w:rPr>
          <w:rFonts w:hint="eastAsia" w:ascii="楷体" w:hAnsi="楷体" w:eastAsia="楷体" w:cs="楷体"/>
          <w:b/>
          <w:kern w:val="0"/>
          <w:sz w:val="24"/>
          <w:szCs w:val="24"/>
        </w:rPr>
      </w:pPr>
    </w:p>
    <w:p w14:paraId="32610CAD">
      <w:pPr>
        <w:spacing w:line="400" w:lineRule="exact"/>
        <w:rPr>
          <w:rFonts w:hint="eastAsia" w:ascii="楷体" w:hAnsi="楷体" w:eastAsia="楷体" w:cs="楷体"/>
          <w:b/>
          <w:kern w:val="0"/>
          <w:sz w:val="24"/>
          <w:szCs w:val="24"/>
        </w:rPr>
      </w:pPr>
    </w:p>
    <w:p w14:paraId="68D0C39C">
      <w:pPr>
        <w:spacing w:line="400" w:lineRule="exact"/>
        <w:rPr>
          <w:rFonts w:hint="eastAsia" w:ascii="楷体" w:hAnsi="楷体" w:eastAsia="楷体" w:cs="楷体"/>
          <w:b/>
          <w:kern w:val="0"/>
          <w:sz w:val="24"/>
          <w:szCs w:val="24"/>
        </w:rPr>
      </w:pPr>
    </w:p>
    <w:p w14:paraId="3B14D7BD">
      <w:pPr>
        <w:spacing w:line="400" w:lineRule="exact"/>
        <w:rPr>
          <w:rFonts w:hint="eastAsia" w:ascii="楷体" w:hAnsi="楷体" w:eastAsia="楷体" w:cs="楷体"/>
          <w:b/>
          <w:kern w:val="0"/>
          <w:sz w:val="24"/>
          <w:szCs w:val="24"/>
        </w:rPr>
      </w:pPr>
    </w:p>
    <w:p w14:paraId="64868275">
      <w:pPr>
        <w:spacing w:line="400" w:lineRule="exact"/>
        <w:rPr>
          <w:rFonts w:hint="eastAsia" w:ascii="楷体" w:hAnsi="楷体" w:eastAsia="楷体" w:cs="楷体"/>
          <w:b/>
          <w:kern w:val="0"/>
          <w:sz w:val="24"/>
          <w:szCs w:val="24"/>
        </w:rPr>
      </w:pPr>
    </w:p>
    <w:p w14:paraId="357A070D">
      <w:pPr>
        <w:spacing w:line="400" w:lineRule="exact"/>
        <w:rPr>
          <w:rFonts w:hint="eastAsia" w:ascii="楷体" w:hAnsi="楷体" w:eastAsia="楷体" w:cs="楷体"/>
          <w:b/>
          <w:kern w:val="0"/>
          <w:sz w:val="24"/>
          <w:szCs w:val="24"/>
        </w:rPr>
      </w:pPr>
    </w:p>
    <w:p w14:paraId="67106858">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4E4FABA5">
      <w:pPr>
        <w:spacing w:line="400" w:lineRule="exact"/>
        <w:jc w:val="center"/>
        <w:rPr>
          <w:rFonts w:hint="eastAsia" w:ascii="楷体" w:hAnsi="楷体" w:eastAsia="楷体"/>
          <w:b/>
          <w:bCs/>
          <w:color w:val="000000"/>
          <w:sz w:val="28"/>
          <w:szCs w:val="28"/>
          <w:lang w:eastAsia="zh-CN"/>
        </w:rPr>
      </w:pPr>
      <w:r>
        <w:rPr>
          <w:rFonts w:hint="eastAsia" w:ascii="楷体" w:hAnsi="楷体" w:eastAsia="楷体"/>
          <w:b/>
          <w:bCs/>
          <w:color w:val="000000"/>
          <w:sz w:val="28"/>
          <w:szCs w:val="28"/>
          <w:lang w:eastAsia="zh-CN"/>
        </w:rPr>
        <w:t>报价表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949"/>
        <w:gridCol w:w="2949"/>
      </w:tblGrid>
      <w:tr w14:paraId="4C1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8" w:type="dxa"/>
          </w:tcPr>
          <w:p w14:paraId="09EE83B3">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bCs/>
                <w:color w:val="000000"/>
                <w:sz w:val="28"/>
                <w:szCs w:val="28"/>
                <w:vertAlign w:val="baseline"/>
                <w:lang w:eastAsia="zh-CN"/>
              </w:rPr>
              <w:t>项目名称</w:t>
            </w:r>
          </w:p>
        </w:tc>
        <w:tc>
          <w:tcPr>
            <w:tcW w:w="2949" w:type="dxa"/>
          </w:tcPr>
          <w:p w14:paraId="35FC8281">
            <w:pPr>
              <w:spacing w:line="400" w:lineRule="exact"/>
              <w:jc w:val="center"/>
              <w:rPr>
                <w:rFonts w:hint="eastAsia" w:ascii="楷体" w:hAnsi="楷体" w:eastAsia="楷体"/>
                <w:b/>
                <w:bCs/>
                <w:color w:val="000000"/>
                <w:sz w:val="28"/>
                <w:szCs w:val="28"/>
                <w:vertAlign w:val="baseline"/>
                <w:lang w:val="en-US" w:eastAsia="zh-CN"/>
              </w:rPr>
            </w:pPr>
            <w:r>
              <w:rPr>
                <w:rFonts w:hint="eastAsia" w:ascii="楷体" w:hAnsi="楷体" w:eastAsia="楷体"/>
                <w:b/>
                <w:bCs/>
                <w:color w:val="000000"/>
                <w:sz w:val="28"/>
                <w:szCs w:val="28"/>
                <w:vertAlign w:val="baseline"/>
                <w:lang w:val="en-US" w:eastAsia="zh-CN"/>
              </w:rPr>
              <w:t>价格（元/年）</w:t>
            </w:r>
          </w:p>
        </w:tc>
        <w:tc>
          <w:tcPr>
            <w:tcW w:w="2949" w:type="dxa"/>
          </w:tcPr>
          <w:p w14:paraId="33D90FB7">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bCs/>
                <w:color w:val="000000"/>
                <w:sz w:val="28"/>
                <w:szCs w:val="28"/>
                <w:vertAlign w:val="baseline"/>
                <w:lang w:eastAsia="zh-CN"/>
              </w:rPr>
              <w:t>备注</w:t>
            </w:r>
          </w:p>
        </w:tc>
      </w:tr>
      <w:tr w14:paraId="067D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tcPr>
          <w:p w14:paraId="6ECB053A">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color w:val="000000" w:themeColor="text1"/>
                <w:kern w:val="0"/>
                <w:sz w:val="24"/>
                <w:szCs w:val="24"/>
                <w:lang w:eastAsia="zh-CN"/>
              </w:rPr>
              <w:t>信息中心下一代防火墙维护服务</w:t>
            </w:r>
          </w:p>
        </w:tc>
        <w:tc>
          <w:tcPr>
            <w:tcW w:w="2949" w:type="dxa"/>
          </w:tcPr>
          <w:p w14:paraId="78C300F8">
            <w:pPr>
              <w:spacing w:line="400" w:lineRule="exact"/>
              <w:jc w:val="center"/>
              <w:rPr>
                <w:rFonts w:hint="eastAsia" w:ascii="楷体" w:hAnsi="楷体" w:eastAsia="楷体"/>
                <w:b/>
                <w:bCs/>
                <w:color w:val="000000"/>
                <w:sz w:val="28"/>
                <w:szCs w:val="28"/>
                <w:vertAlign w:val="baseline"/>
                <w:lang w:eastAsia="zh-CN"/>
              </w:rPr>
            </w:pPr>
          </w:p>
        </w:tc>
        <w:tc>
          <w:tcPr>
            <w:tcW w:w="2949" w:type="dxa"/>
          </w:tcPr>
          <w:p w14:paraId="1D26C746">
            <w:pPr>
              <w:spacing w:line="400" w:lineRule="exact"/>
              <w:jc w:val="center"/>
              <w:rPr>
                <w:rFonts w:hint="eastAsia" w:ascii="楷体" w:hAnsi="楷体" w:eastAsia="楷体"/>
                <w:b/>
                <w:bCs/>
                <w:color w:val="000000"/>
                <w:sz w:val="28"/>
                <w:szCs w:val="28"/>
                <w:vertAlign w:val="baseline"/>
                <w:lang w:eastAsia="zh-CN"/>
              </w:rPr>
            </w:pPr>
          </w:p>
        </w:tc>
      </w:tr>
      <w:tr w14:paraId="21D0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8" w:type="dxa"/>
          </w:tcPr>
          <w:p w14:paraId="6DA0A832">
            <w:pPr>
              <w:spacing w:line="400" w:lineRule="exact"/>
              <w:jc w:val="center"/>
              <w:rPr>
                <w:rFonts w:hint="eastAsia" w:ascii="楷体" w:hAnsi="楷体" w:eastAsia="楷体"/>
                <w:b/>
                <w:bCs/>
                <w:color w:val="000000"/>
                <w:sz w:val="28"/>
                <w:szCs w:val="28"/>
                <w:vertAlign w:val="baseline"/>
                <w:lang w:eastAsia="zh-CN"/>
              </w:rPr>
            </w:pPr>
            <w:r>
              <w:rPr>
                <w:rFonts w:hint="eastAsia" w:ascii="楷体" w:hAnsi="楷体" w:eastAsia="楷体"/>
                <w:b/>
                <w:bCs/>
                <w:color w:val="000000"/>
                <w:sz w:val="28"/>
                <w:szCs w:val="28"/>
                <w:vertAlign w:val="baseline"/>
                <w:lang w:eastAsia="zh-CN"/>
              </w:rPr>
              <w:t>三年总计（元）</w:t>
            </w:r>
          </w:p>
        </w:tc>
        <w:tc>
          <w:tcPr>
            <w:tcW w:w="2949" w:type="dxa"/>
          </w:tcPr>
          <w:p w14:paraId="797F7112">
            <w:pPr>
              <w:spacing w:line="400" w:lineRule="exact"/>
              <w:jc w:val="center"/>
              <w:rPr>
                <w:rFonts w:hint="eastAsia" w:ascii="楷体" w:hAnsi="楷体" w:eastAsia="楷体"/>
                <w:b/>
                <w:bCs/>
                <w:color w:val="000000"/>
                <w:sz w:val="28"/>
                <w:szCs w:val="28"/>
                <w:vertAlign w:val="baseline"/>
                <w:lang w:eastAsia="zh-CN"/>
              </w:rPr>
            </w:pPr>
          </w:p>
        </w:tc>
        <w:tc>
          <w:tcPr>
            <w:tcW w:w="2949" w:type="dxa"/>
          </w:tcPr>
          <w:p w14:paraId="3F84ECF5">
            <w:pPr>
              <w:spacing w:line="400" w:lineRule="exact"/>
              <w:jc w:val="center"/>
              <w:rPr>
                <w:rFonts w:hint="eastAsia" w:ascii="楷体" w:hAnsi="楷体" w:eastAsia="楷体"/>
                <w:b/>
                <w:bCs/>
                <w:color w:val="000000"/>
                <w:sz w:val="28"/>
                <w:szCs w:val="28"/>
                <w:vertAlign w:val="baseline"/>
                <w:lang w:eastAsia="zh-CN"/>
              </w:rPr>
            </w:pPr>
          </w:p>
        </w:tc>
      </w:tr>
    </w:tbl>
    <w:p w14:paraId="143C8F29">
      <w:pPr>
        <w:numPr>
          <w:ilvl w:val="0"/>
          <w:numId w:val="0"/>
        </w:numPr>
        <w:snapToGrid w:val="0"/>
        <w:spacing w:line="520" w:lineRule="exact"/>
        <w:ind w:firstLine="562" w:firstLineChars="200"/>
        <w:rPr>
          <w:rFonts w:hint="default" w:ascii="宋体" w:hAnsi="宋体" w:eastAsia="宋体" w:cs="宋体"/>
          <w:szCs w:val="28"/>
          <w:lang w:val="en-US" w:eastAsia="zh-CN"/>
        </w:rPr>
      </w:pPr>
      <w:r>
        <w:rPr>
          <w:rFonts w:hint="eastAsia" w:ascii="楷体" w:hAnsi="楷体" w:eastAsia="楷体"/>
          <w:b/>
          <w:bCs/>
          <w:color w:val="000000"/>
          <w:sz w:val="28"/>
          <w:szCs w:val="28"/>
          <w:lang w:eastAsia="zh-CN"/>
        </w:rPr>
        <w:t>注：</w:t>
      </w:r>
      <w:r>
        <w:rPr>
          <w:rFonts w:hint="eastAsia" w:ascii="宋体" w:hAnsi="宋体" w:eastAsia="宋体" w:cs="宋体"/>
          <w:szCs w:val="28"/>
          <w:lang w:val="en-US" w:eastAsia="zh-CN"/>
        </w:rPr>
        <w:t>本次报价须为人民币报价且为包干价，包含：完成本项目所需的技术服务费、人工费及提供服务所需的设备或货物购买（制造）费、辅材费、授权费及各种应纳的税费等完成本项目的所有费用。因投标人自身原因造成漏报、少报皆由其自行承担责任，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087B456D">
      <w:pPr>
        <w:snapToGrid w:val="0"/>
        <w:spacing w:line="400" w:lineRule="exact"/>
        <w:rPr>
          <w:rFonts w:hint="eastAsia" w:ascii="楷体" w:hAnsi="楷体" w:eastAsia="楷体" w:cs="楷体"/>
          <w:b/>
          <w:sz w:val="24"/>
          <w:szCs w:val="24"/>
        </w:rPr>
      </w:pPr>
    </w:p>
    <w:p w14:paraId="398ED3F5">
      <w:pPr>
        <w:snapToGrid w:val="0"/>
        <w:spacing w:line="400" w:lineRule="exact"/>
        <w:rPr>
          <w:rFonts w:hint="eastAsia" w:ascii="楷体" w:hAnsi="楷体" w:eastAsia="楷体" w:cs="楷体"/>
          <w:b/>
          <w:sz w:val="24"/>
          <w:szCs w:val="24"/>
        </w:rPr>
      </w:pPr>
    </w:p>
    <w:p w14:paraId="446BF9AA">
      <w:pPr>
        <w:snapToGrid w:val="0"/>
        <w:spacing w:line="400" w:lineRule="exact"/>
        <w:rPr>
          <w:rFonts w:hint="eastAsia" w:ascii="楷体" w:hAnsi="楷体" w:eastAsia="楷体" w:cs="楷体"/>
          <w:b/>
          <w:sz w:val="24"/>
          <w:szCs w:val="24"/>
        </w:rPr>
      </w:pPr>
    </w:p>
    <w:p w14:paraId="19C491DA">
      <w:pPr>
        <w:snapToGrid w:val="0"/>
        <w:spacing w:line="400" w:lineRule="exact"/>
        <w:rPr>
          <w:rFonts w:hint="eastAsia" w:ascii="楷体" w:hAnsi="楷体" w:eastAsia="楷体" w:cs="楷体"/>
          <w:b/>
          <w:sz w:val="24"/>
          <w:szCs w:val="24"/>
        </w:rPr>
      </w:pPr>
    </w:p>
    <w:p w14:paraId="70F9059F">
      <w:pPr>
        <w:snapToGrid w:val="0"/>
        <w:spacing w:line="400" w:lineRule="exact"/>
        <w:rPr>
          <w:rFonts w:hint="eastAsia" w:ascii="楷体" w:hAnsi="楷体" w:eastAsia="楷体" w:cs="楷体"/>
          <w:b/>
          <w:sz w:val="24"/>
          <w:szCs w:val="24"/>
        </w:rPr>
      </w:pPr>
    </w:p>
    <w:p w14:paraId="4265B53A">
      <w:pPr>
        <w:snapToGrid w:val="0"/>
        <w:spacing w:line="400" w:lineRule="exact"/>
        <w:rPr>
          <w:rFonts w:hint="eastAsia" w:ascii="楷体" w:hAnsi="楷体" w:eastAsia="楷体" w:cs="楷体"/>
          <w:b/>
          <w:sz w:val="24"/>
          <w:szCs w:val="24"/>
        </w:rPr>
      </w:pPr>
    </w:p>
    <w:p w14:paraId="7512EAF1">
      <w:pPr>
        <w:snapToGrid w:val="0"/>
        <w:spacing w:line="400" w:lineRule="exact"/>
        <w:rPr>
          <w:rFonts w:hint="eastAsia" w:ascii="楷体" w:hAnsi="楷体" w:eastAsia="楷体" w:cs="楷体"/>
          <w:b/>
          <w:sz w:val="24"/>
          <w:szCs w:val="24"/>
        </w:rPr>
      </w:pPr>
    </w:p>
    <w:p w14:paraId="5FD0A3F4">
      <w:pPr>
        <w:snapToGrid w:val="0"/>
        <w:spacing w:line="400" w:lineRule="exact"/>
        <w:rPr>
          <w:rFonts w:hint="eastAsia" w:ascii="楷体" w:hAnsi="楷体" w:eastAsia="楷体" w:cs="楷体"/>
          <w:b/>
          <w:sz w:val="24"/>
          <w:szCs w:val="24"/>
        </w:rPr>
      </w:pPr>
    </w:p>
    <w:p w14:paraId="43D652D6">
      <w:pPr>
        <w:snapToGrid w:val="0"/>
        <w:spacing w:line="400" w:lineRule="exact"/>
        <w:rPr>
          <w:rFonts w:hint="eastAsia" w:ascii="楷体" w:hAnsi="楷体" w:eastAsia="楷体" w:cs="楷体"/>
          <w:b/>
          <w:sz w:val="24"/>
          <w:szCs w:val="24"/>
        </w:rPr>
      </w:pPr>
    </w:p>
    <w:p w14:paraId="369B6271">
      <w:pPr>
        <w:snapToGrid w:val="0"/>
        <w:spacing w:line="400" w:lineRule="exact"/>
        <w:rPr>
          <w:rFonts w:hint="eastAsia" w:ascii="楷体" w:hAnsi="楷体" w:eastAsia="楷体" w:cs="楷体"/>
          <w:b/>
          <w:sz w:val="24"/>
          <w:szCs w:val="24"/>
        </w:rPr>
      </w:pPr>
    </w:p>
    <w:p w14:paraId="6C2823F7">
      <w:pPr>
        <w:snapToGrid w:val="0"/>
        <w:spacing w:line="400" w:lineRule="exact"/>
        <w:rPr>
          <w:rFonts w:hint="eastAsia" w:ascii="楷体" w:hAnsi="楷体" w:eastAsia="楷体" w:cs="楷体"/>
          <w:b/>
          <w:sz w:val="24"/>
          <w:szCs w:val="24"/>
        </w:rPr>
      </w:pPr>
    </w:p>
    <w:p w14:paraId="4C28657E">
      <w:pPr>
        <w:snapToGrid w:val="0"/>
        <w:spacing w:line="400" w:lineRule="exact"/>
        <w:rPr>
          <w:rFonts w:hint="eastAsia" w:ascii="楷体" w:hAnsi="楷体" w:eastAsia="楷体" w:cs="楷体"/>
          <w:b/>
          <w:sz w:val="24"/>
          <w:szCs w:val="24"/>
        </w:rPr>
      </w:pPr>
    </w:p>
    <w:p w14:paraId="164A4202">
      <w:pPr>
        <w:snapToGrid w:val="0"/>
        <w:spacing w:line="400" w:lineRule="exact"/>
        <w:rPr>
          <w:rFonts w:hint="eastAsia" w:ascii="楷体" w:hAnsi="楷体" w:eastAsia="楷体" w:cs="楷体"/>
          <w:b/>
          <w:sz w:val="24"/>
          <w:szCs w:val="24"/>
        </w:rPr>
      </w:pPr>
    </w:p>
    <w:p w14:paraId="03377B84">
      <w:pPr>
        <w:snapToGrid w:val="0"/>
        <w:spacing w:line="400" w:lineRule="exact"/>
        <w:rPr>
          <w:rFonts w:hint="eastAsia" w:ascii="楷体" w:hAnsi="楷体" w:eastAsia="楷体" w:cs="楷体"/>
          <w:b/>
          <w:sz w:val="24"/>
          <w:szCs w:val="24"/>
        </w:rPr>
      </w:pPr>
    </w:p>
    <w:p w14:paraId="33143F79">
      <w:pPr>
        <w:snapToGrid w:val="0"/>
        <w:spacing w:line="400" w:lineRule="exact"/>
        <w:rPr>
          <w:rFonts w:hint="eastAsia" w:ascii="楷体" w:hAnsi="楷体" w:eastAsia="楷体" w:cs="楷体"/>
          <w:b/>
          <w:sz w:val="24"/>
          <w:szCs w:val="24"/>
        </w:rPr>
      </w:pPr>
    </w:p>
    <w:p w14:paraId="7BDE54C0">
      <w:pPr>
        <w:snapToGrid w:val="0"/>
        <w:spacing w:line="400" w:lineRule="exact"/>
        <w:rPr>
          <w:rFonts w:hint="eastAsia" w:ascii="楷体" w:hAnsi="楷体" w:eastAsia="楷体" w:cs="楷体"/>
          <w:b/>
          <w:sz w:val="24"/>
          <w:szCs w:val="24"/>
        </w:rPr>
      </w:pPr>
    </w:p>
    <w:p w14:paraId="74C8F5E5">
      <w:pPr>
        <w:snapToGrid w:val="0"/>
        <w:spacing w:line="400" w:lineRule="exact"/>
        <w:rPr>
          <w:rFonts w:hint="eastAsia" w:ascii="楷体" w:hAnsi="楷体" w:eastAsia="楷体" w:cs="楷体"/>
          <w:b/>
          <w:sz w:val="24"/>
          <w:szCs w:val="24"/>
        </w:rPr>
      </w:pPr>
    </w:p>
    <w:p w14:paraId="0C350572">
      <w:pPr>
        <w:snapToGrid w:val="0"/>
        <w:spacing w:line="400" w:lineRule="exact"/>
        <w:rPr>
          <w:rFonts w:hint="eastAsia" w:ascii="楷体" w:hAnsi="楷体" w:eastAsia="楷体" w:cs="楷体"/>
          <w:b/>
          <w:sz w:val="24"/>
          <w:szCs w:val="24"/>
        </w:rPr>
      </w:pPr>
    </w:p>
    <w:p w14:paraId="79BF088B">
      <w:pPr>
        <w:snapToGrid w:val="0"/>
        <w:spacing w:line="400" w:lineRule="exact"/>
        <w:rPr>
          <w:rFonts w:hint="eastAsia" w:ascii="楷体" w:hAnsi="楷体" w:eastAsia="楷体" w:cs="楷体"/>
          <w:b/>
          <w:sz w:val="24"/>
          <w:szCs w:val="24"/>
        </w:rPr>
      </w:pPr>
    </w:p>
    <w:p w14:paraId="79490D49">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4233507"/>
    <w:rsid w:val="0559183C"/>
    <w:rsid w:val="056D55A3"/>
    <w:rsid w:val="057021F6"/>
    <w:rsid w:val="05A20B35"/>
    <w:rsid w:val="05D9472B"/>
    <w:rsid w:val="08AC59F4"/>
    <w:rsid w:val="0988346A"/>
    <w:rsid w:val="09B8768F"/>
    <w:rsid w:val="0A4A209B"/>
    <w:rsid w:val="0A5061ED"/>
    <w:rsid w:val="0A6F42F2"/>
    <w:rsid w:val="0AD16319"/>
    <w:rsid w:val="0BB83A7B"/>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EFA1AEC"/>
    <w:rsid w:val="1F784B5D"/>
    <w:rsid w:val="1FF64400"/>
    <w:rsid w:val="202C6073"/>
    <w:rsid w:val="20347776"/>
    <w:rsid w:val="20C02160"/>
    <w:rsid w:val="20D917CB"/>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E2C7E4D"/>
    <w:rsid w:val="2EC26548"/>
    <w:rsid w:val="2F3A598B"/>
    <w:rsid w:val="2F687BFA"/>
    <w:rsid w:val="30BA6676"/>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4021297B"/>
    <w:rsid w:val="402D7572"/>
    <w:rsid w:val="40F736DC"/>
    <w:rsid w:val="410C28BC"/>
    <w:rsid w:val="41436921"/>
    <w:rsid w:val="41D659E7"/>
    <w:rsid w:val="42D71A17"/>
    <w:rsid w:val="42ED1DEC"/>
    <w:rsid w:val="437B6769"/>
    <w:rsid w:val="437D71DF"/>
    <w:rsid w:val="43980E0E"/>
    <w:rsid w:val="4414702A"/>
    <w:rsid w:val="441B1DD7"/>
    <w:rsid w:val="447F2366"/>
    <w:rsid w:val="44B55D88"/>
    <w:rsid w:val="44D73F50"/>
    <w:rsid w:val="44DB7C08"/>
    <w:rsid w:val="453A6C16"/>
    <w:rsid w:val="455E01CE"/>
    <w:rsid w:val="458D2861"/>
    <w:rsid w:val="474433F3"/>
    <w:rsid w:val="47857270"/>
    <w:rsid w:val="486378A9"/>
    <w:rsid w:val="48C77E38"/>
    <w:rsid w:val="497D499A"/>
    <w:rsid w:val="497E0B2D"/>
    <w:rsid w:val="49B04D70"/>
    <w:rsid w:val="49DC532A"/>
    <w:rsid w:val="4ACA6D2B"/>
    <w:rsid w:val="4ADA2D83"/>
    <w:rsid w:val="4AFF1B0B"/>
    <w:rsid w:val="4B327B45"/>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11D0E"/>
    <w:rsid w:val="529214B7"/>
    <w:rsid w:val="52CF1BE3"/>
    <w:rsid w:val="53FE0C17"/>
    <w:rsid w:val="542720D3"/>
    <w:rsid w:val="544C32E6"/>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A351D7"/>
    <w:rsid w:val="69DC45D5"/>
    <w:rsid w:val="6A1C70E9"/>
    <w:rsid w:val="6A3D7B02"/>
    <w:rsid w:val="6B024FE4"/>
    <w:rsid w:val="6B4F3F91"/>
    <w:rsid w:val="6BD3401C"/>
    <w:rsid w:val="6C2E3BA6"/>
    <w:rsid w:val="6C604A30"/>
    <w:rsid w:val="6D350F65"/>
    <w:rsid w:val="6DFF1C9E"/>
    <w:rsid w:val="6E91041D"/>
    <w:rsid w:val="6EA91C0A"/>
    <w:rsid w:val="6F064768"/>
    <w:rsid w:val="6FFE4A55"/>
    <w:rsid w:val="706758D9"/>
    <w:rsid w:val="710B0D1E"/>
    <w:rsid w:val="71B06EB2"/>
    <w:rsid w:val="71C1726B"/>
    <w:rsid w:val="71C8684B"/>
    <w:rsid w:val="739E2EC6"/>
    <w:rsid w:val="750C4CA1"/>
    <w:rsid w:val="755A7130"/>
    <w:rsid w:val="758343B0"/>
    <w:rsid w:val="76944BF2"/>
    <w:rsid w:val="77187077"/>
    <w:rsid w:val="772C162A"/>
    <w:rsid w:val="772D7A86"/>
    <w:rsid w:val="775A7F45"/>
    <w:rsid w:val="778356EE"/>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3"/>
    <w:autoRedefine/>
    <w:qFormat/>
    <w:uiPriority w:val="0"/>
    <w:rPr>
      <w:rFonts w:ascii="宋体" w:hAnsi="Courier New" w:eastAsia="宋体" w:cs="Courier New"/>
      <w:szCs w:val="21"/>
    </w:rPr>
  </w:style>
  <w:style w:type="paragraph" w:styleId="6">
    <w:name w:val="Balloon Text"/>
    <w:basedOn w:val="1"/>
    <w:link w:val="3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8"/>
    <w:autoRedefine/>
    <w:qFormat/>
    <w:uiPriority w:val="99"/>
    <w:rPr>
      <w:sz w:val="18"/>
      <w:szCs w:val="18"/>
    </w:rPr>
  </w:style>
  <w:style w:type="character" w:customStyle="1" w:styleId="17">
    <w:name w:val="页脚 Char"/>
    <w:basedOn w:val="14"/>
    <w:link w:val="7"/>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4"/>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3"/>
    <w:autoRedefine/>
    <w:qFormat/>
    <w:locked/>
    <w:uiPriority w:val="0"/>
    <w:rPr>
      <w:rFonts w:ascii="Arial" w:hAnsi="Arial" w:eastAsia="黑体" w:cs="Arial"/>
      <w:b/>
      <w:bCs/>
      <w:sz w:val="32"/>
      <w:szCs w:val="32"/>
    </w:rPr>
  </w:style>
  <w:style w:type="character" w:customStyle="1" w:styleId="23">
    <w:name w:val="纯文本 Char"/>
    <w:basedOn w:val="14"/>
    <w:link w:val="5"/>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2"/>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6"/>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2599</Words>
  <Characters>2707</Characters>
  <Lines>12</Lines>
  <Paragraphs>3</Paragraphs>
  <TotalTime>0</TotalTime>
  <ScaleCrop>false</ScaleCrop>
  <LinksUpToDate>false</LinksUpToDate>
  <CharactersWithSpaces>2884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2026-06-26T06:52:05Z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