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972B08">
      <w:pPr>
        <w:spacing w:line="760" w:lineRule="exact"/>
        <w:jc w:val="center"/>
        <w:rPr>
          <w:rFonts w:hint="eastAsia" w:ascii="宋体" w:hAnsi="宋体" w:eastAsia="宋体" w:cs="宋体"/>
          <w:color w:val="000000"/>
          <w:sz w:val="32"/>
          <w:szCs w:val="32"/>
        </w:rPr>
      </w:pPr>
    </w:p>
    <w:p w14:paraId="2BC99E0D">
      <w:pPr>
        <w:spacing w:line="760" w:lineRule="exact"/>
        <w:jc w:val="center"/>
        <w:rPr>
          <w:rFonts w:hint="eastAsia" w:ascii="宋体" w:hAnsi="宋体" w:eastAsia="宋体" w:cs="宋体"/>
          <w:color w:val="000000"/>
          <w:sz w:val="44"/>
          <w:szCs w:val="44"/>
        </w:rPr>
      </w:pPr>
    </w:p>
    <w:p w14:paraId="52A1C251">
      <w:pPr>
        <w:spacing w:line="760" w:lineRule="exact"/>
        <w:jc w:val="center"/>
        <w:rPr>
          <w:rFonts w:hint="eastAsia" w:ascii="宋体" w:hAnsi="宋体" w:eastAsia="宋体" w:cs="宋体"/>
          <w:color w:val="000000"/>
          <w:sz w:val="44"/>
          <w:szCs w:val="44"/>
        </w:rPr>
      </w:pPr>
    </w:p>
    <w:p w14:paraId="4E04509D">
      <w:pPr>
        <w:spacing w:line="760" w:lineRule="exact"/>
        <w:jc w:val="center"/>
        <w:rPr>
          <w:rFonts w:hint="eastAsia" w:ascii="宋体" w:hAnsi="宋体" w:eastAsia="宋体" w:cs="宋体"/>
          <w:color w:val="000000"/>
          <w:sz w:val="72"/>
          <w:szCs w:val="72"/>
          <w:lang w:eastAsia="zh-CN"/>
        </w:rPr>
      </w:pPr>
      <w:r>
        <w:rPr>
          <w:rFonts w:hint="eastAsia" w:ascii="宋体" w:hAnsi="宋体" w:eastAsia="宋体" w:cs="宋体"/>
          <w:color w:val="000000"/>
          <w:sz w:val="72"/>
          <w:szCs w:val="72"/>
        </w:rPr>
        <w:t>重庆医科大学附属永川</w:t>
      </w:r>
      <w:r>
        <w:rPr>
          <w:rFonts w:hint="eastAsia" w:ascii="宋体" w:hAnsi="宋体" w:eastAsia="宋体" w:cs="宋体"/>
          <w:color w:val="000000"/>
          <w:sz w:val="72"/>
          <w:szCs w:val="72"/>
          <w:lang w:eastAsia="zh-CN"/>
        </w:rPr>
        <w:t>医院</w:t>
      </w:r>
    </w:p>
    <w:p w14:paraId="1CD51376">
      <w:pPr>
        <w:spacing w:line="760" w:lineRule="exact"/>
        <w:jc w:val="center"/>
        <w:rPr>
          <w:rFonts w:hint="eastAsia" w:ascii="宋体" w:hAnsi="宋体" w:eastAsia="宋体" w:cs="宋体"/>
          <w:color w:val="000000"/>
          <w:sz w:val="72"/>
          <w:szCs w:val="72"/>
        </w:rPr>
      </w:pPr>
    </w:p>
    <w:p w14:paraId="097ECF79">
      <w:pPr>
        <w:jc w:val="center"/>
        <w:rPr>
          <w:rFonts w:hint="eastAsia" w:ascii="宋体" w:hAnsi="宋体" w:eastAsia="宋体" w:cs="宋体"/>
          <w:color w:val="000000"/>
          <w:sz w:val="72"/>
          <w:szCs w:val="72"/>
        </w:rPr>
      </w:pPr>
      <w:bookmarkStart w:id="0" w:name="_Toc24720"/>
      <w:r>
        <w:rPr>
          <w:rFonts w:hint="eastAsia" w:ascii="宋体" w:hAnsi="宋体" w:eastAsia="宋体" w:cs="宋体"/>
          <w:color w:val="000000"/>
          <w:sz w:val="72"/>
          <w:szCs w:val="72"/>
        </w:rPr>
        <w:t>比  选  文  件</w:t>
      </w:r>
      <w:bookmarkEnd w:id="0"/>
    </w:p>
    <w:p w14:paraId="465B5E4A">
      <w:pPr>
        <w:spacing w:line="760" w:lineRule="exact"/>
        <w:rPr>
          <w:rFonts w:hint="eastAsia" w:ascii="宋体" w:hAnsi="宋体" w:eastAsia="宋体" w:cs="宋体"/>
          <w:color w:val="000000"/>
          <w:spacing w:val="80"/>
          <w:sz w:val="44"/>
          <w:szCs w:val="44"/>
        </w:rPr>
      </w:pPr>
    </w:p>
    <w:p w14:paraId="1275DCD2">
      <w:pPr>
        <w:spacing w:line="760" w:lineRule="exact"/>
        <w:rPr>
          <w:rFonts w:hint="default" w:ascii="宋体" w:hAnsi="宋体" w:eastAsia="宋体" w:cs="宋体"/>
          <w:color w:val="000000"/>
          <w:sz w:val="40"/>
          <w:szCs w:val="40"/>
          <w:lang w:val="en-US" w:eastAsia="zh-CN"/>
        </w:rPr>
      </w:pPr>
      <w:r>
        <w:rPr>
          <w:rFonts w:hint="eastAsia" w:ascii="宋体" w:hAnsi="宋体" w:eastAsia="宋体" w:cs="宋体"/>
          <w:color w:val="000000"/>
          <w:sz w:val="40"/>
          <w:szCs w:val="40"/>
        </w:rPr>
        <w:t>项目编号：</w:t>
      </w:r>
      <w:r>
        <w:rPr>
          <w:rFonts w:hint="eastAsia" w:ascii="宋体" w:hAnsi="宋体" w:eastAsia="宋体" w:cs="宋体"/>
          <w:color w:val="000000"/>
          <w:sz w:val="40"/>
          <w:szCs w:val="40"/>
          <w:lang w:val="en-US" w:eastAsia="zh-CN"/>
        </w:rPr>
        <w:t>2026FW062</w:t>
      </w:r>
    </w:p>
    <w:p w14:paraId="7B0E3435">
      <w:pPr>
        <w:spacing w:line="760" w:lineRule="exact"/>
        <w:rPr>
          <w:rFonts w:hint="eastAsia" w:ascii="宋体" w:hAnsi="宋体" w:eastAsia="宋体" w:cs="宋体"/>
          <w:color w:val="000000"/>
          <w:sz w:val="40"/>
          <w:szCs w:val="40"/>
        </w:rPr>
      </w:pPr>
      <w:r>
        <w:rPr>
          <w:rFonts w:hint="eastAsia" w:ascii="宋体" w:hAnsi="宋体" w:eastAsia="宋体" w:cs="宋体"/>
          <w:color w:val="000000"/>
          <w:sz w:val="40"/>
          <w:szCs w:val="40"/>
        </w:rPr>
        <w:t>项目名</w:t>
      </w:r>
      <w:r>
        <w:rPr>
          <w:rFonts w:hint="eastAsia" w:ascii="宋体" w:hAnsi="宋体" w:eastAsia="宋体" w:cs="宋体"/>
          <w:color w:val="000000"/>
          <w:sz w:val="40"/>
          <w:szCs w:val="40"/>
          <w:lang w:eastAsia="zh-CN"/>
        </w:rPr>
        <w:t>称：信息中心机房软硬件和安全服务</w:t>
      </w:r>
    </w:p>
    <w:p w14:paraId="7E853E54">
      <w:pPr>
        <w:spacing w:line="760" w:lineRule="exact"/>
        <w:jc w:val="center"/>
        <w:rPr>
          <w:rFonts w:hint="eastAsia" w:ascii="宋体" w:hAnsi="宋体" w:eastAsia="宋体" w:cs="宋体"/>
          <w:color w:val="000000"/>
          <w:sz w:val="40"/>
          <w:szCs w:val="40"/>
        </w:rPr>
      </w:pPr>
    </w:p>
    <w:p w14:paraId="6EE27A8B">
      <w:pPr>
        <w:spacing w:line="760" w:lineRule="exact"/>
        <w:jc w:val="center"/>
        <w:rPr>
          <w:rFonts w:hint="eastAsia" w:ascii="宋体" w:hAnsi="宋体" w:eastAsia="宋体" w:cs="宋体"/>
          <w:color w:val="000000"/>
          <w:sz w:val="40"/>
          <w:szCs w:val="40"/>
        </w:rPr>
      </w:pPr>
    </w:p>
    <w:p w14:paraId="352300A5">
      <w:pPr>
        <w:spacing w:line="760" w:lineRule="exact"/>
        <w:jc w:val="center"/>
        <w:rPr>
          <w:rFonts w:hint="eastAsia" w:ascii="宋体" w:hAnsi="宋体" w:eastAsia="宋体" w:cs="宋体"/>
          <w:color w:val="000000"/>
          <w:sz w:val="40"/>
          <w:szCs w:val="40"/>
        </w:rPr>
      </w:pPr>
    </w:p>
    <w:p w14:paraId="260200A6">
      <w:pPr>
        <w:spacing w:line="760" w:lineRule="exact"/>
        <w:ind w:firstLine="1080" w:firstLineChars="300"/>
        <w:jc w:val="both"/>
        <w:rPr>
          <w:rFonts w:hint="eastAsia" w:ascii="宋体" w:hAnsi="宋体" w:eastAsia="宋体" w:cs="宋体"/>
          <w:color w:val="000000"/>
          <w:sz w:val="36"/>
        </w:rPr>
      </w:pPr>
    </w:p>
    <w:p w14:paraId="223C04A1">
      <w:pPr>
        <w:spacing w:line="760" w:lineRule="exact"/>
        <w:jc w:val="both"/>
        <w:rPr>
          <w:rFonts w:hint="eastAsia" w:ascii="宋体" w:hAnsi="宋体" w:eastAsia="宋体" w:cs="宋体"/>
          <w:color w:val="000000"/>
          <w:sz w:val="36"/>
        </w:rPr>
      </w:pPr>
    </w:p>
    <w:p w14:paraId="596B4C8A">
      <w:pPr>
        <w:spacing w:line="760" w:lineRule="exact"/>
        <w:ind w:firstLine="1080" w:firstLineChars="300"/>
        <w:jc w:val="both"/>
        <w:rPr>
          <w:rFonts w:hint="eastAsia" w:ascii="宋体" w:hAnsi="宋体" w:eastAsia="宋体" w:cs="宋体"/>
          <w:color w:val="000000"/>
          <w:sz w:val="40"/>
          <w:szCs w:val="40"/>
          <w:lang w:eastAsia="zh-CN"/>
        </w:rPr>
      </w:pPr>
      <w:r>
        <w:rPr>
          <w:rFonts w:hint="eastAsia" w:ascii="宋体" w:hAnsi="宋体" w:eastAsia="宋体" w:cs="宋体"/>
          <w:color w:val="000000"/>
          <w:sz w:val="36"/>
        </w:rPr>
        <w:t>采购人</w:t>
      </w:r>
      <w:r>
        <w:rPr>
          <w:rFonts w:hint="eastAsia" w:ascii="宋体" w:hAnsi="宋体" w:eastAsia="宋体" w:cs="宋体"/>
          <w:color w:val="000000"/>
          <w:sz w:val="40"/>
          <w:szCs w:val="40"/>
        </w:rPr>
        <w:t>：重庆医科大学附属永川</w:t>
      </w:r>
      <w:r>
        <w:rPr>
          <w:rFonts w:hint="eastAsia" w:ascii="宋体" w:hAnsi="宋体" w:eastAsia="宋体" w:cs="宋体"/>
          <w:color w:val="000000"/>
          <w:sz w:val="40"/>
          <w:szCs w:val="40"/>
          <w:lang w:eastAsia="zh-CN"/>
        </w:rPr>
        <w:t>医院</w:t>
      </w:r>
    </w:p>
    <w:p w14:paraId="7C2C3F52">
      <w:pPr>
        <w:spacing w:line="760" w:lineRule="exact"/>
        <w:ind w:firstLine="1600" w:firstLineChars="400"/>
        <w:jc w:val="both"/>
        <w:rPr>
          <w:rFonts w:hint="eastAsia" w:ascii="宋体" w:hAnsi="宋体" w:eastAsia="宋体" w:cs="宋体"/>
          <w:color w:val="000000"/>
          <w:sz w:val="40"/>
          <w:szCs w:val="40"/>
        </w:rPr>
      </w:pPr>
    </w:p>
    <w:p w14:paraId="5EE3E88B">
      <w:pPr>
        <w:pStyle w:val="3"/>
        <w:rPr>
          <w:rFonts w:hint="eastAsia" w:ascii="宋体" w:hAnsi="宋体" w:eastAsia="宋体" w:cs="宋体"/>
          <w:color w:val="000000"/>
        </w:rPr>
      </w:pPr>
    </w:p>
    <w:p w14:paraId="0D7F2151">
      <w:pPr>
        <w:spacing w:line="760" w:lineRule="exact"/>
        <w:jc w:val="center"/>
        <w:rPr>
          <w:rFonts w:hint="eastAsia" w:ascii="宋体" w:hAnsi="宋体" w:eastAsia="宋体" w:cs="宋体"/>
          <w:color w:val="000000"/>
          <w:sz w:val="40"/>
          <w:szCs w:val="40"/>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numberInDash" w:start="0"/>
          <w:cols w:space="720" w:num="1"/>
          <w:titlePg/>
          <w:docGrid w:linePitch="380" w:charSpace="-5735"/>
        </w:sectPr>
      </w:pPr>
      <w:r>
        <w:rPr>
          <w:rFonts w:hint="eastAsia" w:ascii="宋体" w:hAnsi="宋体" w:eastAsia="宋体" w:cs="宋体"/>
          <w:color w:val="000000"/>
          <w:sz w:val="40"/>
          <w:szCs w:val="40"/>
        </w:rPr>
        <w:t>二〇二</w:t>
      </w:r>
      <w:r>
        <w:rPr>
          <w:rFonts w:hint="eastAsia" w:ascii="宋体" w:hAnsi="宋体" w:eastAsia="宋体" w:cs="宋体"/>
          <w:color w:val="000000"/>
          <w:sz w:val="40"/>
          <w:szCs w:val="40"/>
          <w:lang w:eastAsia="zh-CN"/>
        </w:rPr>
        <w:t>六</w:t>
      </w:r>
      <w:r>
        <w:rPr>
          <w:rFonts w:hint="eastAsia" w:ascii="宋体" w:hAnsi="宋体" w:eastAsia="宋体" w:cs="宋体"/>
          <w:color w:val="000000"/>
          <w:sz w:val="40"/>
          <w:szCs w:val="40"/>
        </w:rPr>
        <w:t>年</w:t>
      </w:r>
      <w:r>
        <w:rPr>
          <w:rFonts w:hint="eastAsia" w:ascii="宋体" w:hAnsi="宋体" w:cs="宋体"/>
          <w:color w:val="000000"/>
          <w:sz w:val="40"/>
          <w:szCs w:val="40"/>
          <w:lang w:eastAsia="zh-CN"/>
        </w:rPr>
        <w:t>七</w:t>
      </w:r>
      <w:r>
        <w:rPr>
          <w:rFonts w:hint="eastAsia" w:ascii="宋体" w:hAnsi="宋体" w:eastAsia="宋体" w:cs="宋体"/>
          <w:color w:val="000000"/>
          <w:sz w:val="40"/>
          <w:szCs w:val="40"/>
        </w:rPr>
        <w:t>月</w:t>
      </w:r>
    </w:p>
    <w:p w14:paraId="77BDBA8E">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sz w:val="44"/>
          <w:szCs w:val="44"/>
        </w:rPr>
      </w:pPr>
      <w:r>
        <w:rPr>
          <w:rFonts w:ascii="宋体" w:hAnsi="宋体" w:eastAsia="宋体"/>
          <w:color w:val="000000"/>
          <w:sz w:val="44"/>
          <w:szCs w:val="44"/>
        </w:rPr>
        <w:t>目录</w:t>
      </w:r>
    </w:p>
    <w:p w14:paraId="2842A09A">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TOC \o "1-3" \h \u </w:instrText>
      </w:r>
      <w:r>
        <w:rPr>
          <w:rFonts w:hint="eastAsia" w:ascii="宋体" w:hAnsi="宋体" w:eastAsia="宋体" w:cs="宋体"/>
          <w:color w:val="000000"/>
          <w:szCs w:val="44"/>
        </w:rPr>
        <w:fldChar w:fldCharType="separate"/>
      </w: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_Toc20412 </w:instrText>
      </w:r>
      <w:r>
        <w:rPr>
          <w:rFonts w:hint="eastAsia" w:ascii="宋体" w:hAnsi="宋体" w:eastAsia="宋体" w:cs="宋体"/>
          <w:color w:val="000000"/>
          <w:szCs w:val="44"/>
        </w:rPr>
        <w:fldChar w:fldCharType="separate"/>
      </w:r>
      <w:r>
        <w:rPr>
          <w:rFonts w:hint="default" w:ascii="宋体" w:hAnsi="宋体" w:eastAsia="宋体" w:cs="宋体"/>
          <w:color w:val="000000"/>
          <w:kern w:val="2"/>
          <w:lang w:val="en-US" w:eastAsia="zh-CN" w:bidi="ar-SA"/>
        </w:rPr>
        <w:t>第一篇</w:t>
      </w:r>
      <w:r>
        <w:rPr>
          <w:rFonts w:hint="eastAsia" w:hAnsi="宋体" w:eastAsia="宋体" w:cs="宋体"/>
          <w:color w:val="000000"/>
          <w:kern w:val="2"/>
          <w:lang w:val="en-US" w:eastAsia="zh-CN" w:bidi="ar-SA"/>
        </w:rPr>
        <w:t xml:space="preserve"> </w:t>
      </w:r>
      <w:r>
        <w:rPr>
          <w:rFonts w:hint="eastAsia" w:ascii="宋体" w:hAnsi="宋体" w:eastAsia="宋体" w:cs="宋体"/>
          <w:color w:val="000000"/>
        </w:rPr>
        <w:t>比选邀请书</w:t>
      </w:r>
      <w:r>
        <w:rPr>
          <w:color w:val="000000"/>
        </w:rPr>
        <w:tab/>
      </w:r>
      <w:r>
        <w:rPr>
          <w:color w:val="000000"/>
        </w:rPr>
        <w:fldChar w:fldCharType="begin"/>
      </w:r>
      <w:r>
        <w:rPr>
          <w:color w:val="000000"/>
        </w:rPr>
        <w:instrText xml:space="preserve"> PAGEREF _Toc20412 \h </w:instrText>
      </w:r>
      <w:r>
        <w:rPr>
          <w:color w:val="000000"/>
        </w:rPr>
        <w:fldChar w:fldCharType="separate"/>
      </w:r>
      <w:r>
        <w:rPr>
          <w:color w:val="000000"/>
        </w:rPr>
        <w:t>- 2 -</w:t>
      </w:r>
      <w:r>
        <w:rPr>
          <w:color w:val="000000"/>
        </w:rPr>
        <w:fldChar w:fldCharType="end"/>
      </w:r>
      <w:r>
        <w:rPr>
          <w:rFonts w:hint="eastAsia" w:ascii="宋体" w:hAnsi="宋体" w:eastAsia="宋体" w:cs="宋体"/>
          <w:color w:val="000000"/>
          <w:szCs w:val="44"/>
        </w:rPr>
        <w:fldChar w:fldCharType="end"/>
      </w:r>
    </w:p>
    <w:p w14:paraId="21445EB1">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_Toc13046 </w:instrText>
      </w:r>
      <w:r>
        <w:rPr>
          <w:rFonts w:hint="eastAsia" w:ascii="宋体" w:hAnsi="宋体" w:eastAsia="宋体" w:cs="宋体"/>
          <w:color w:val="000000"/>
          <w:szCs w:val="44"/>
        </w:rPr>
        <w:fldChar w:fldCharType="separate"/>
      </w:r>
      <w:r>
        <w:rPr>
          <w:rFonts w:hint="eastAsia" w:ascii="宋体" w:hAnsi="宋体" w:eastAsia="宋体" w:cs="宋体"/>
          <w:color w:val="000000"/>
        </w:rPr>
        <w:t>二、资金来源</w:t>
      </w:r>
      <w:r>
        <w:rPr>
          <w:rFonts w:hint="eastAsia" w:ascii="宋体" w:hAnsi="宋体" w:eastAsia="宋体" w:cs="宋体"/>
          <w:color w:val="000000"/>
          <w:lang w:eastAsia="zh-CN"/>
        </w:rPr>
        <w:t>与项目预算</w:t>
      </w:r>
      <w:r>
        <w:rPr>
          <w:color w:val="000000"/>
        </w:rPr>
        <w:tab/>
      </w:r>
      <w:r>
        <w:rPr>
          <w:color w:val="000000"/>
        </w:rPr>
        <w:fldChar w:fldCharType="begin"/>
      </w:r>
      <w:r>
        <w:rPr>
          <w:color w:val="000000"/>
        </w:rPr>
        <w:instrText xml:space="preserve"> PAGEREF _Toc13046 \h </w:instrText>
      </w:r>
      <w:r>
        <w:rPr>
          <w:color w:val="000000"/>
        </w:rPr>
        <w:fldChar w:fldCharType="separate"/>
      </w:r>
      <w:r>
        <w:rPr>
          <w:color w:val="000000"/>
        </w:rPr>
        <w:t>- 2 -</w:t>
      </w:r>
      <w:r>
        <w:rPr>
          <w:color w:val="000000"/>
        </w:rPr>
        <w:fldChar w:fldCharType="end"/>
      </w:r>
      <w:r>
        <w:rPr>
          <w:rFonts w:hint="eastAsia" w:ascii="宋体" w:hAnsi="宋体" w:eastAsia="宋体" w:cs="宋体"/>
          <w:color w:val="000000"/>
          <w:szCs w:val="44"/>
        </w:rPr>
        <w:fldChar w:fldCharType="end"/>
      </w:r>
    </w:p>
    <w:p w14:paraId="3A77815F">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_Toc32294 </w:instrText>
      </w:r>
      <w:r>
        <w:rPr>
          <w:rFonts w:hint="eastAsia" w:ascii="宋体" w:hAnsi="宋体" w:eastAsia="宋体" w:cs="宋体"/>
          <w:color w:val="000000"/>
          <w:szCs w:val="44"/>
        </w:rPr>
        <w:fldChar w:fldCharType="separate"/>
      </w:r>
      <w:r>
        <w:rPr>
          <w:rFonts w:hint="default" w:ascii="宋体" w:hAnsi="宋体" w:eastAsia="宋体" w:cs="宋体"/>
          <w:color w:val="000000"/>
          <w:kern w:val="2"/>
          <w:lang w:val="en-US" w:eastAsia="zh-CN" w:bidi="ar-SA"/>
        </w:rPr>
        <w:t>第二篇</w:t>
      </w:r>
      <w:r>
        <w:rPr>
          <w:rFonts w:hint="eastAsia" w:hAnsi="宋体" w:eastAsia="宋体" w:cs="宋体"/>
          <w:color w:val="000000"/>
          <w:kern w:val="2"/>
          <w:lang w:val="en-US" w:eastAsia="zh-CN" w:bidi="ar-SA"/>
        </w:rPr>
        <w:t xml:space="preserve"> </w:t>
      </w:r>
      <w:r>
        <w:rPr>
          <w:rFonts w:hint="eastAsia" w:ascii="宋体" w:hAnsi="宋体" w:eastAsia="宋体" w:cs="宋体"/>
          <w:color w:val="000000"/>
        </w:rPr>
        <w:t>供应商须知</w:t>
      </w:r>
      <w:r>
        <w:rPr>
          <w:color w:val="000000"/>
        </w:rPr>
        <w:tab/>
      </w:r>
      <w:r>
        <w:rPr>
          <w:color w:val="000000"/>
        </w:rPr>
        <w:fldChar w:fldCharType="begin"/>
      </w:r>
      <w:r>
        <w:rPr>
          <w:color w:val="000000"/>
        </w:rPr>
        <w:instrText xml:space="preserve"> PAGEREF _Toc32294 \h </w:instrText>
      </w:r>
      <w:r>
        <w:rPr>
          <w:color w:val="000000"/>
        </w:rPr>
        <w:fldChar w:fldCharType="separate"/>
      </w:r>
      <w:r>
        <w:rPr>
          <w:color w:val="000000"/>
        </w:rPr>
        <w:t>- 3 -</w:t>
      </w:r>
      <w:r>
        <w:rPr>
          <w:color w:val="000000"/>
        </w:rPr>
        <w:fldChar w:fldCharType="end"/>
      </w:r>
      <w:r>
        <w:rPr>
          <w:rFonts w:hint="eastAsia" w:ascii="宋体" w:hAnsi="宋体" w:eastAsia="宋体" w:cs="宋体"/>
          <w:color w:val="000000"/>
          <w:szCs w:val="44"/>
        </w:rPr>
        <w:fldChar w:fldCharType="end"/>
      </w:r>
    </w:p>
    <w:p w14:paraId="19974B02">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_Toc11820 </w:instrText>
      </w:r>
      <w:r>
        <w:rPr>
          <w:rFonts w:hint="eastAsia" w:ascii="宋体" w:hAnsi="宋体" w:eastAsia="宋体" w:cs="宋体"/>
          <w:color w:val="000000"/>
          <w:szCs w:val="44"/>
        </w:rPr>
        <w:fldChar w:fldCharType="separate"/>
      </w:r>
      <w:r>
        <w:rPr>
          <w:rFonts w:hint="eastAsia" w:ascii="宋体" w:hAnsi="宋体" w:eastAsia="宋体" w:cs="宋体"/>
          <w:color w:val="000000"/>
        </w:rPr>
        <w:t>二、比选文件</w:t>
      </w:r>
      <w:r>
        <w:rPr>
          <w:color w:val="000000"/>
        </w:rPr>
        <w:tab/>
      </w:r>
      <w:r>
        <w:rPr>
          <w:color w:val="000000"/>
        </w:rPr>
        <w:fldChar w:fldCharType="begin"/>
      </w:r>
      <w:r>
        <w:rPr>
          <w:color w:val="000000"/>
        </w:rPr>
        <w:instrText xml:space="preserve"> PAGEREF _Toc11820 \h </w:instrText>
      </w:r>
      <w:r>
        <w:rPr>
          <w:color w:val="000000"/>
        </w:rPr>
        <w:fldChar w:fldCharType="separate"/>
      </w:r>
      <w:r>
        <w:rPr>
          <w:color w:val="000000"/>
        </w:rPr>
        <w:t>- 5 -</w:t>
      </w:r>
      <w:r>
        <w:rPr>
          <w:color w:val="000000"/>
        </w:rPr>
        <w:fldChar w:fldCharType="end"/>
      </w:r>
      <w:r>
        <w:rPr>
          <w:rFonts w:hint="eastAsia" w:ascii="宋体" w:hAnsi="宋体" w:eastAsia="宋体" w:cs="宋体"/>
          <w:color w:val="000000"/>
          <w:szCs w:val="44"/>
        </w:rPr>
        <w:fldChar w:fldCharType="end"/>
      </w:r>
    </w:p>
    <w:p w14:paraId="7CC425A2">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_Toc22731 </w:instrText>
      </w:r>
      <w:r>
        <w:rPr>
          <w:rFonts w:hint="eastAsia" w:ascii="宋体" w:hAnsi="宋体" w:eastAsia="宋体" w:cs="宋体"/>
          <w:color w:val="000000"/>
          <w:szCs w:val="44"/>
        </w:rPr>
        <w:fldChar w:fldCharType="separate"/>
      </w:r>
      <w:r>
        <w:rPr>
          <w:rFonts w:hint="eastAsia" w:ascii="宋体" w:hAnsi="宋体" w:eastAsia="宋体" w:cs="宋体"/>
          <w:color w:val="000000"/>
        </w:rPr>
        <w:t>第三篇 项目服务需求</w:t>
      </w:r>
      <w:r>
        <w:rPr>
          <w:color w:val="000000"/>
        </w:rPr>
        <w:tab/>
      </w:r>
      <w:r>
        <w:rPr>
          <w:color w:val="000000"/>
        </w:rPr>
        <w:fldChar w:fldCharType="begin"/>
      </w:r>
      <w:r>
        <w:rPr>
          <w:color w:val="000000"/>
        </w:rPr>
        <w:instrText xml:space="preserve"> PAGEREF _Toc22731 \h </w:instrText>
      </w:r>
      <w:r>
        <w:rPr>
          <w:color w:val="000000"/>
        </w:rPr>
        <w:fldChar w:fldCharType="separate"/>
      </w:r>
      <w:r>
        <w:rPr>
          <w:color w:val="000000"/>
        </w:rPr>
        <w:t>- 14 -</w:t>
      </w:r>
      <w:r>
        <w:rPr>
          <w:color w:val="000000"/>
        </w:rPr>
        <w:fldChar w:fldCharType="end"/>
      </w:r>
      <w:r>
        <w:rPr>
          <w:rFonts w:hint="eastAsia" w:ascii="宋体" w:hAnsi="宋体" w:eastAsia="宋体" w:cs="宋体"/>
          <w:color w:val="000000"/>
          <w:szCs w:val="44"/>
        </w:rPr>
        <w:fldChar w:fldCharType="end"/>
      </w:r>
    </w:p>
    <w:p w14:paraId="0CFF6952">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_Toc6795 </w:instrText>
      </w:r>
      <w:r>
        <w:rPr>
          <w:rFonts w:hint="eastAsia" w:ascii="宋体" w:hAnsi="宋体" w:eastAsia="宋体" w:cs="宋体"/>
          <w:color w:val="000000"/>
          <w:szCs w:val="44"/>
        </w:rPr>
        <w:fldChar w:fldCharType="separate"/>
      </w:r>
      <w:r>
        <w:rPr>
          <w:rFonts w:hint="eastAsia" w:ascii="宋体" w:hAnsi="宋体" w:eastAsia="宋体" w:cs="宋体"/>
          <w:color w:val="000000"/>
          <w:kern w:val="2"/>
          <w:lang w:val="en-US" w:eastAsia="zh-CN" w:bidi="ar-SA"/>
        </w:rPr>
        <w:t>第五篇  合同草案条款</w:t>
      </w:r>
      <w:r>
        <w:rPr>
          <w:color w:val="000000"/>
        </w:rPr>
        <w:tab/>
      </w:r>
      <w:r>
        <w:rPr>
          <w:color w:val="000000"/>
        </w:rPr>
        <w:fldChar w:fldCharType="begin"/>
      </w:r>
      <w:r>
        <w:rPr>
          <w:color w:val="000000"/>
        </w:rPr>
        <w:instrText xml:space="preserve"> PAGEREF _Toc6795 \h </w:instrText>
      </w:r>
      <w:r>
        <w:rPr>
          <w:color w:val="000000"/>
        </w:rPr>
        <w:fldChar w:fldCharType="separate"/>
      </w:r>
      <w:r>
        <w:rPr>
          <w:color w:val="000000"/>
        </w:rPr>
        <w:t>- 24 -</w:t>
      </w:r>
      <w:r>
        <w:rPr>
          <w:color w:val="000000"/>
        </w:rPr>
        <w:fldChar w:fldCharType="end"/>
      </w:r>
      <w:r>
        <w:rPr>
          <w:rFonts w:hint="eastAsia" w:ascii="宋体" w:hAnsi="宋体" w:eastAsia="宋体" w:cs="宋体"/>
          <w:color w:val="000000"/>
          <w:szCs w:val="44"/>
        </w:rPr>
        <w:fldChar w:fldCharType="end"/>
      </w:r>
    </w:p>
    <w:p w14:paraId="2118B96A">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_Toc31586 </w:instrText>
      </w:r>
      <w:r>
        <w:rPr>
          <w:rFonts w:hint="eastAsia" w:ascii="宋体" w:hAnsi="宋体" w:eastAsia="宋体" w:cs="宋体"/>
          <w:color w:val="000000"/>
          <w:szCs w:val="44"/>
        </w:rPr>
        <w:fldChar w:fldCharType="separate"/>
      </w:r>
      <w:r>
        <w:rPr>
          <w:rFonts w:hint="eastAsia" w:ascii="宋体" w:hAnsi="宋体" w:eastAsia="宋体" w:cs="宋体"/>
          <w:color w:val="000000"/>
        </w:rPr>
        <w:t>第六篇  响应文件格式要求</w:t>
      </w:r>
      <w:r>
        <w:rPr>
          <w:color w:val="000000"/>
        </w:rPr>
        <w:tab/>
      </w:r>
      <w:r>
        <w:rPr>
          <w:color w:val="000000"/>
        </w:rPr>
        <w:fldChar w:fldCharType="begin"/>
      </w:r>
      <w:r>
        <w:rPr>
          <w:color w:val="000000"/>
        </w:rPr>
        <w:instrText xml:space="preserve"> PAGEREF _Toc31586 \h </w:instrText>
      </w:r>
      <w:r>
        <w:rPr>
          <w:color w:val="000000"/>
        </w:rPr>
        <w:fldChar w:fldCharType="separate"/>
      </w:r>
      <w:r>
        <w:rPr>
          <w:color w:val="000000"/>
        </w:rPr>
        <w:t>- 26 -</w:t>
      </w:r>
      <w:r>
        <w:rPr>
          <w:color w:val="000000"/>
        </w:rPr>
        <w:fldChar w:fldCharType="end"/>
      </w:r>
      <w:r>
        <w:rPr>
          <w:rFonts w:hint="eastAsia" w:ascii="宋体" w:hAnsi="宋体" w:eastAsia="宋体" w:cs="宋体"/>
          <w:color w:val="000000"/>
          <w:szCs w:val="44"/>
        </w:rPr>
        <w:fldChar w:fldCharType="end"/>
      </w:r>
    </w:p>
    <w:p w14:paraId="0B4CD3CB">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_Toc26058 </w:instrText>
      </w:r>
      <w:r>
        <w:rPr>
          <w:rFonts w:hint="eastAsia" w:ascii="宋体" w:hAnsi="宋体" w:eastAsia="宋体" w:cs="宋体"/>
          <w:color w:val="000000"/>
          <w:szCs w:val="44"/>
        </w:rPr>
        <w:fldChar w:fldCharType="separate"/>
      </w:r>
      <w:r>
        <w:rPr>
          <w:rFonts w:hint="eastAsia" w:ascii="宋体" w:hAnsi="宋体" w:eastAsia="宋体" w:cs="宋体"/>
          <w:color w:val="000000"/>
        </w:rPr>
        <w:t>四、资格文件及其他</w:t>
      </w:r>
      <w:r>
        <w:rPr>
          <w:color w:val="000000"/>
        </w:rPr>
        <w:tab/>
      </w:r>
      <w:r>
        <w:rPr>
          <w:color w:val="000000"/>
        </w:rPr>
        <w:fldChar w:fldCharType="begin"/>
      </w:r>
      <w:r>
        <w:rPr>
          <w:color w:val="000000"/>
        </w:rPr>
        <w:instrText xml:space="preserve"> PAGEREF _Toc26058 \h </w:instrText>
      </w:r>
      <w:r>
        <w:rPr>
          <w:color w:val="000000"/>
        </w:rPr>
        <w:fldChar w:fldCharType="separate"/>
      </w:r>
      <w:r>
        <w:rPr>
          <w:color w:val="000000"/>
        </w:rPr>
        <w:t>- 26 -</w:t>
      </w:r>
      <w:r>
        <w:rPr>
          <w:color w:val="000000"/>
        </w:rPr>
        <w:fldChar w:fldCharType="end"/>
      </w:r>
      <w:r>
        <w:rPr>
          <w:rFonts w:hint="eastAsia" w:ascii="宋体" w:hAnsi="宋体" w:eastAsia="宋体" w:cs="宋体"/>
          <w:color w:val="000000"/>
          <w:szCs w:val="44"/>
        </w:rPr>
        <w:fldChar w:fldCharType="end"/>
      </w:r>
    </w:p>
    <w:p w14:paraId="59072B0D">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_Toc16952 </w:instrText>
      </w:r>
      <w:r>
        <w:rPr>
          <w:rFonts w:hint="eastAsia" w:ascii="宋体" w:hAnsi="宋体" w:eastAsia="宋体" w:cs="宋体"/>
          <w:color w:val="000000"/>
          <w:szCs w:val="44"/>
        </w:rPr>
        <w:fldChar w:fldCharType="separate"/>
      </w:r>
      <w:r>
        <w:rPr>
          <w:rFonts w:hint="eastAsia" w:ascii="宋体" w:hAnsi="宋体" w:eastAsia="宋体" w:cs="宋体"/>
          <w:color w:val="000000"/>
        </w:rPr>
        <w:t>五、其他应提供的资料</w:t>
      </w:r>
      <w:r>
        <w:rPr>
          <w:color w:val="000000"/>
        </w:rPr>
        <w:tab/>
      </w:r>
      <w:r>
        <w:rPr>
          <w:color w:val="000000"/>
        </w:rPr>
        <w:fldChar w:fldCharType="begin"/>
      </w:r>
      <w:r>
        <w:rPr>
          <w:color w:val="000000"/>
        </w:rPr>
        <w:instrText xml:space="preserve"> PAGEREF _Toc16952 \h </w:instrText>
      </w:r>
      <w:r>
        <w:rPr>
          <w:color w:val="000000"/>
        </w:rPr>
        <w:fldChar w:fldCharType="separate"/>
      </w:r>
      <w:r>
        <w:rPr>
          <w:color w:val="000000"/>
        </w:rPr>
        <w:t>- 26 -</w:t>
      </w:r>
      <w:r>
        <w:rPr>
          <w:color w:val="000000"/>
        </w:rPr>
        <w:fldChar w:fldCharType="end"/>
      </w:r>
      <w:r>
        <w:rPr>
          <w:rFonts w:hint="eastAsia" w:ascii="宋体" w:hAnsi="宋体" w:eastAsia="宋体" w:cs="宋体"/>
          <w:color w:val="000000"/>
          <w:szCs w:val="44"/>
        </w:rPr>
        <w:fldChar w:fldCharType="end"/>
      </w:r>
    </w:p>
    <w:p w14:paraId="3F0FD66A">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_Toc21162 </w:instrText>
      </w:r>
      <w:r>
        <w:rPr>
          <w:rFonts w:hint="eastAsia" w:ascii="宋体" w:hAnsi="宋体" w:eastAsia="宋体" w:cs="宋体"/>
          <w:color w:val="000000"/>
          <w:szCs w:val="44"/>
        </w:rPr>
        <w:fldChar w:fldCharType="separate"/>
      </w:r>
      <w:r>
        <w:rPr>
          <w:rFonts w:hint="eastAsia" w:ascii="宋体" w:hAnsi="宋体" w:eastAsia="宋体" w:cs="宋体"/>
          <w:color w:val="000000"/>
        </w:rPr>
        <w:t>一、经济部分</w:t>
      </w:r>
      <w:r>
        <w:rPr>
          <w:color w:val="000000"/>
        </w:rPr>
        <w:tab/>
      </w:r>
      <w:r>
        <w:rPr>
          <w:color w:val="000000"/>
        </w:rPr>
        <w:fldChar w:fldCharType="begin"/>
      </w:r>
      <w:r>
        <w:rPr>
          <w:color w:val="000000"/>
        </w:rPr>
        <w:instrText xml:space="preserve"> PAGEREF _Toc21162 \h </w:instrText>
      </w:r>
      <w:r>
        <w:rPr>
          <w:color w:val="000000"/>
        </w:rPr>
        <w:fldChar w:fldCharType="separate"/>
      </w:r>
      <w:r>
        <w:rPr>
          <w:color w:val="000000"/>
        </w:rPr>
        <w:t>- 27 -</w:t>
      </w:r>
      <w:r>
        <w:rPr>
          <w:color w:val="000000"/>
        </w:rPr>
        <w:fldChar w:fldCharType="end"/>
      </w:r>
      <w:r>
        <w:rPr>
          <w:rFonts w:hint="eastAsia" w:ascii="宋体" w:hAnsi="宋体" w:eastAsia="宋体" w:cs="宋体"/>
          <w:color w:val="000000"/>
          <w:szCs w:val="44"/>
        </w:rPr>
        <w:fldChar w:fldCharType="end"/>
      </w:r>
    </w:p>
    <w:p w14:paraId="032C8CA3">
      <w:pPr>
        <w:pStyle w:val="30"/>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_Toc1551 </w:instrText>
      </w:r>
      <w:r>
        <w:rPr>
          <w:rFonts w:hint="eastAsia" w:ascii="宋体" w:hAnsi="宋体" w:eastAsia="宋体" w:cs="宋体"/>
          <w:color w:val="000000"/>
          <w:szCs w:val="44"/>
        </w:rPr>
        <w:fldChar w:fldCharType="separate"/>
      </w:r>
      <w:r>
        <w:rPr>
          <w:rFonts w:hint="eastAsia" w:ascii="宋体" w:hAnsi="宋体" w:eastAsia="宋体" w:cs="宋体"/>
          <w:color w:val="000000"/>
          <w:szCs w:val="24"/>
        </w:rPr>
        <w:t>（一）比选报价函</w:t>
      </w:r>
      <w:r>
        <w:rPr>
          <w:color w:val="000000"/>
        </w:rPr>
        <w:tab/>
      </w:r>
      <w:r>
        <w:rPr>
          <w:color w:val="000000"/>
        </w:rPr>
        <w:fldChar w:fldCharType="begin"/>
      </w:r>
      <w:r>
        <w:rPr>
          <w:color w:val="000000"/>
        </w:rPr>
        <w:instrText xml:space="preserve"> PAGEREF _Toc1551 \h </w:instrText>
      </w:r>
      <w:r>
        <w:rPr>
          <w:color w:val="000000"/>
        </w:rPr>
        <w:fldChar w:fldCharType="separate"/>
      </w:r>
      <w:r>
        <w:rPr>
          <w:color w:val="000000"/>
        </w:rPr>
        <w:t>- 27 -</w:t>
      </w:r>
      <w:r>
        <w:rPr>
          <w:color w:val="000000"/>
        </w:rPr>
        <w:fldChar w:fldCharType="end"/>
      </w:r>
      <w:r>
        <w:rPr>
          <w:rFonts w:hint="eastAsia" w:ascii="宋体" w:hAnsi="宋体" w:eastAsia="宋体" w:cs="宋体"/>
          <w:color w:val="000000"/>
          <w:szCs w:val="44"/>
        </w:rPr>
        <w:fldChar w:fldCharType="end"/>
      </w:r>
    </w:p>
    <w:p w14:paraId="5E58B738">
      <w:pPr>
        <w:pStyle w:val="30"/>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_Toc31713 </w:instrText>
      </w:r>
      <w:r>
        <w:rPr>
          <w:rFonts w:hint="eastAsia" w:ascii="宋体" w:hAnsi="宋体" w:eastAsia="宋体" w:cs="宋体"/>
          <w:color w:val="000000"/>
          <w:szCs w:val="44"/>
        </w:rPr>
        <w:fldChar w:fldCharType="separate"/>
      </w:r>
      <w:r>
        <w:rPr>
          <w:rFonts w:hint="eastAsia" w:ascii="宋体" w:hAnsi="宋体" w:eastAsia="宋体" w:cs="宋体"/>
          <w:color w:val="000000"/>
          <w:szCs w:val="24"/>
        </w:rPr>
        <w:t>（二） 分项报价明细表</w:t>
      </w:r>
      <w:r>
        <w:rPr>
          <w:color w:val="000000"/>
        </w:rPr>
        <w:tab/>
      </w:r>
      <w:r>
        <w:rPr>
          <w:color w:val="000000"/>
        </w:rPr>
        <w:fldChar w:fldCharType="begin"/>
      </w:r>
      <w:r>
        <w:rPr>
          <w:color w:val="000000"/>
        </w:rPr>
        <w:instrText xml:space="preserve"> PAGEREF _Toc31713 \h </w:instrText>
      </w:r>
      <w:r>
        <w:rPr>
          <w:color w:val="000000"/>
        </w:rPr>
        <w:fldChar w:fldCharType="separate"/>
      </w:r>
      <w:r>
        <w:rPr>
          <w:color w:val="000000"/>
        </w:rPr>
        <w:t>- 28 -</w:t>
      </w:r>
      <w:r>
        <w:rPr>
          <w:color w:val="000000"/>
        </w:rPr>
        <w:fldChar w:fldCharType="end"/>
      </w:r>
      <w:r>
        <w:rPr>
          <w:rFonts w:hint="eastAsia" w:ascii="宋体" w:hAnsi="宋体" w:eastAsia="宋体" w:cs="宋体"/>
          <w:color w:val="000000"/>
          <w:szCs w:val="44"/>
        </w:rPr>
        <w:fldChar w:fldCharType="end"/>
      </w:r>
    </w:p>
    <w:p w14:paraId="0E16A1CD">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_Toc28628 </w:instrText>
      </w:r>
      <w:r>
        <w:rPr>
          <w:rFonts w:hint="eastAsia" w:ascii="宋体" w:hAnsi="宋体" w:eastAsia="宋体" w:cs="宋体"/>
          <w:color w:val="000000"/>
          <w:szCs w:val="44"/>
        </w:rPr>
        <w:fldChar w:fldCharType="separate"/>
      </w:r>
      <w:r>
        <w:rPr>
          <w:rFonts w:hint="eastAsia" w:ascii="宋体" w:hAnsi="宋体" w:eastAsia="宋体" w:cs="宋体"/>
          <w:color w:val="000000"/>
        </w:rPr>
        <w:t>二、服务部分</w:t>
      </w:r>
      <w:r>
        <w:rPr>
          <w:color w:val="000000"/>
        </w:rPr>
        <w:tab/>
      </w:r>
      <w:r>
        <w:rPr>
          <w:color w:val="000000"/>
        </w:rPr>
        <w:fldChar w:fldCharType="begin"/>
      </w:r>
      <w:r>
        <w:rPr>
          <w:color w:val="000000"/>
        </w:rPr>
        <w:instrText xml:space="preserve"> PAGEREF _Toc28628 \h </w:instrText>
      </w:r>
      <w:r>
        <w:rPr>
          <w:color w:val="000000"/>
        </w:rPr>
        <w:fldChar w:fldCharType="separate"/>
      </w:r>
      <w:r>
        <w:rPr>
          <w:color w:val="000000"/>
        </w:rPr>
        <w:t>- 29 -</w:t>
      </w:r>
      <w:r>
        <w:rPr>
          <w:color w:val="000000"/>
        </w:rPr>
        <w:fldChar w:fldCharType="end"/>
      </w:r>
      <w:r>
        <w:rPr>
          <w:rFonts w:hint="eastAsia" w:ascii="宋体" w:hAnsi="宋体" w:eastAsia="宋体" w:cs="宋体"/>
          <w:color w:val="000000"/>
          <w:szCs w:val="44"/>
        </w:rPr>
        <w:fldChar w:fldCharType="end"/>
      </w:r>
    </w:p>
    <w:p w14:paraId="150D7227">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_Toc17269 </w:instrText>
      </w:r>
      <w:r>
        <w:rPr>
          <w:rFonts w:hint="eastAsia" w:ascii="宋体" w:hAnsi="宋体" w:eastAsia="宋体" w:cs="宋体"/>
          <w:color w:val="000000"/>
          <w:szCs w:val="44"/>
        </w:rPr>
        <w:fldChar w:fldCharType="separate"/>
      </w:r>
      <w:r>
        <w:rPr>
          <w:rFonts w:hint="eastAsia" w:ascii="宋体" w:hAnsi="宋体" w:eastAsia="宋体" w:cs="宋体"/>
          <w:color w:val="000000"/>
          <w:szCs w:val="28"/>
        </w:rPr>
        <w:t>（一）按照“第三篇  项目服务需求”提供相应资料</w:t>
      </w:r>
      <w:r>
        <w:rPr>
          <w:color w:val="000000"/>
        </w:rPr>
        <w:tab/>
      </w:r>
      <w:r>
        <w:rPr>
          <w:color w:val="000000"/>
        </w:rPr>
        <w:fldChar w:fldCharType="begin"/>
      </w:r>
      <w:r>
        <w:rPr>
          <w:color w:val="000000"/>
        </w:rPr>
        <w:instrText xml:space="preserve"> PAGEREF _Toc17269 \h </w:instrText>
      </w:r>
      <w:r>
        <w:rPr>
          <w:color w:val="000000"/>
        </w:rPr>
        <w:fldChar w:fldCharType="separate"/>
      </w:r>
      <w:r>
        <w:rPr>
          <w:color w:val="000000"/>
        </w:rPr>
        <w:t>- 31 -</w:t>
      </w:r>
      <w:r>
        <w:rPr>
          <w:color w:val="000000"/>
        </w:rPr>
        <w:fldChar w:fldCharType="end"/>
      </w:r>
      <w:r>
        <w:rPr>
          <w:rFonts w:hint="eastAsia" w:ascii="宋体" w:hAnsi="宋体" w:eastAsia="宋体" w:cs="宋体"/>
          <w:color w:val="000000"/>
          <w:szCs w:val="44"/>
        </w:rPr>
        <w:fldChar w:fldCharType="end"/>
      </w:r>
    </w:p>
    <w:p w14:paraId="6D92A617">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_Toc27419 </w:instrText>
      </w:r>
      <w:r>
        <w:rPr>
          <w:rFonts w:hint="eastAsia" w:ascii="宋体" w:hAnsi="宋体" w:eastAsia="宋体" w:cs="宋体"/>
          <w:color w:val="000000"/>
          <w:szCs w:val="44"/>
        </w:rPr>
        <w:fldChar w:fldCharType="separate"/>
      </w:r>
      <w:r>
        <w:rPr>
          <w:rFonts w:hint="eastAsia" w:ascii="宋体" w:hAnsi="宋体" w:eastAsia="宋体" w:cs="宋体"/>
          <w:color w:val="000000"/>
          <w:szCs w:val="36"/>
        </w:rPr>
        <w:t>（二）服务响应偏离表</w:t>
      </w:r>
      <w:r>
        <w:rPr>
          <w:color w:val="000000"/>
        </w:rPr>
        <w:tab/>
      </w:r>
      <w:r>
        <w:rPr>
          <w:color w:val="000000"/>
        </w:rPr>
        <w:fldChar w:fldCharType="begin"/>
      </w:r>
      <w:r>
        <w:rPr>
          <w:color w:val="000000"/>
        </w:rPr>
        <w:instrText xml:space="preserve"> PAGEREF _Toc27419 \h </w:instrText>
      </w:r>
      <w:r>
        <w:rPr>
          <w:color w:val="000000"/>
        </w:rPr>
        <w:fldChar w:fldCharType="separate"/>
      </w:r>
      <w:r>
        <w:rPr>
          <w:color w:val="000000"/>
        </w:rPr>
        <w:t>- 32 -</w:t>
      </w:r>
      <w:r>
        <w:rPr>
          <w:color w:val="000000"/>
        </w:rPr>
        <w:fldChar w:fldCharType="end"/>
      </w:r>
      <w:r>
        <w:rPr>
          <w:rFonts w:hint="eastAsia" w:ascii="宋体" w:hAnsi="宋体" w:eastAsia="宋体" w:cs="宋体"/>
          <w:color w:val="000000"/>
          <w:szCs w:val="44"/>
        </w:rPr>
        <w:fldChar w:fldCharType="end"/>
      </w:r>
    </w:p>
    <w:p w14:paraId="7177AEA2">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_Toc14780 </w:instrText>
      </w:r>
      <w:r>
        <w:rPr>
          <w:rFonts w:hint="eastAsia" w:ascii="宋体" w:hAnsi="宋体" w:eastAsia="宋体" w:cs="宋体"/>
          <w:color w:val="000000"/>
          <w:szCs w:val="44"/>
        </w:rPr>
        <w:fldChar w:fldCharType="separate"/>
      </w:r>
      <w:r>
        <w:rPr>
          <w:rFonts w:hint="eastAsia" w:ascii="宋体" w:hAnsi="宋体" w:eastAsia="宋体" w:cs="宋体"/>
          <w:color w:val="000000"/>
        </w:rPr>
        <w:t>三、商务部分</w:t>
      </w:r>
      <w:r>
        <w:rPr>
          <w:color w:val="000000"/>
        </w:rPr>
        <w:tab/>
      </w:r>
      <w:r>
        <w:rPr>
          <w:color w:val="000000"/>
        </w:rPr>
        <w:fldChar w:fldCharType="begin"/>
      </w:r>
      <w:r>
        <w:rPr>
          <w:color w:val="000000"/>
        </w:rPr>
        <w:instrText xml:space="preserve"> PAGEREF _Toc14780 \h </w:instrText>
      </w:r>
      <w:r>
        <w:rPr>
          <w:color w:val="000000"/>
        </w:rPr>
        <w:fldChar w:fldCharType="separate"/>
      </w:r>
      <w:r>
        <w:rPr>
          <w:color w:val="000000"/>
        </w:rPr>
        <w:t>- 33 -</w:t>
      </w:r>
      <w:r>
        <w:rPr>
          <w:color w:val="000000"/>
        </w:rPr>
        <w:fldChar w:fldCharType="end"/>
      </w:r>
      <w:r>
        <w:rPr>
          <w:rFonts w:hint="eastAsia" w:ascii="宋体" w:hAnsi="宋体" w:eastAsia="宋体" w:cs="宋体"/>
          <w:color w:val="000000"/>
          <w:szCs w:val="44"/>
        </w:rPr>
        <w:fldChar w:fldCharType="end"/>
      </w:r>
    </w:p>
    <w:p w14:paraId="7FA438A6">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_Toc13711 </w:instrText>
      </w:r>
      <w:r>
        <w:rPr>
          <w:rFonts w:hint="eastAsia" w:ascii="宋体" w:hAnsi="宋体" w:eastAsia="宋体" w:cs="宋体"/>
          <w:color w:val="000000"/>
          <w:szCs w:val="44"/>
        </w:rPr>
        <w:fldChar w:fldCharType="separate"/>
      </w:r>
      <w:r>
        <w:rPr>
          <w:rFonts w:hint="default" w:ascii="宋体" w:hAnsi="宋体" w:eastAsia="宋体" w:cs="宋体"/>
          <w:color w:val="000000"/>
          <w:szCs w:val="28"/>
        </w:rPr>
        <w:t xml:space="preserve">（一） </w:t>
      </w:r>
      <w:r>
        <w:rPr>
          <w:rFonts w:hint="eastAsia" w:ascii="宋体" w:hAnsi="宋体" w:eastAsia="宋体" w:cs="宋体"/>
          <w:color w:val="000000"/>
          <w:szCs w:val="28"/>
        </w:rPr>
        <w:t>按照“第四篇  项目商务需求”提供相应资料</w:t>
      </w:r>
      <w:r>
        <w:rPr>
          <w:color w:val="000000"/>
        </w:rPr>
        <w:tab/>
      </w:r>
      <w:r>
        <w:rPr>
          <w:color w:val="000000"/>
        </w:rPr>
        <w:fldChar w:fldCharType="begin"/>
      </w:r>
      <w:r>
        <w:rPr>
          <w:color w:val="000000"/>
        </w:rPr>
        <w:instrText xml:space="preserve"> PAGEREF _Toc13711 \h </w:instrText>
      </w:r>
      <w:r>
        <w:rPr>
          <w:color w:val="000000"/>
        </w:rPr>
        <w:fldChar w:fldCharType="separate"/>
      </w:r>
      <w:r>
        <w:rPr>
          <w:color w:val="000000"/>
        </w:rPr>
        <w:t>- 33 -</w:t>
      </w:r>
      <w:r>
        <w:rPr>
          <w:color w:val="000000"/>
        </w:rPr>
        <w:fldChar w:fldCharType="end"/>
      </w:r>
      <w:r>
        <w:rPr>
          <w:rFonts w:hint="eastAsia" w:ascii="宋体" w:hAnsi="宋体" w:eastAsia="宋体" w:cs="宋体"/>
          <w:color w:val="000000"/>
          <w:szCs w:val="44"/>
        </w:rPr>
        <w:fldChar w:fldCharType="end"/>
      </w:r>
    </w:p>
    <w:p w14:paraId="3BFD9B4D">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_Toc8610 </w:instrText>
      </w:r>
      <w:r>
        <w:rPr>
          <w:rFonts w:hint="eastAsia" w:ascii="宋体" w:hAnsi="宋体" w:eastAsia="宋体" w:cs="宋体"/>
          <w:color w:val="000000"/>
          <w:szCs w:val="44"/>
        </w:rPr>
        <w:fldChar w:fldCharType="separate"/>
      </w:r>
      <w:r>
        <w:rPr>
          <w:rFonts w:hint="default" w:ascii="宋体" w:hAnsi="宋体" w:eastAsia="宋体" w:cs="宋体"/>
          <w:color w:val="000000"/>
          <w:szCs w:val="28"/>
        </w:rPr>
        <w:t xml:space="preserve">（二） </w:t>
      </w:r>
      <w:r>
        <w:rPr>
          <w:rFonts w:hint="eastAsia" w:ascii="宋体" w:hAnsi="宋体" w:eastAsia="宋体" w:cs="宋体"/>
          <w:color w:val="000000"/>
          <w:szCs w:val="28"/>
        </w:rPr>
        <w:t>商务响应偏离表</w:t>
      </w:r>
      <w:r>
        <w:rPr>
          <w:color w:val="000000"/>
        </w:rPr>
        <w:tab/>
      </w:r>
      <w:r>
        <w:rPr>
          <w:color w:val="000000"/>
        </w:rPr>
        <w:fldChar w:fldCharType="begin"/>
      </w:r>
      <w:r>
        <w:rPr>
          <w:color w:val="000000"/>
        </w:rPr>
        <w:instrText xml:space="preserve"> PAGEREF _Toc8610 \h </w:instrText>
      </w:r>
      <w:r>
        <w:rPr>
          <w:color w:val="000000"/>
        </w:rPr>
        <w:fldChar w:fldCharType="separate"/>
      </w:r>
      <w:r>
        <w:rPr>
          <w:color w:val="000000"/>
        </w:rPr>
        <w:t>- 34 -</w:t>
      </w:r>
      <w:r>
        <w:rPr>
          <w:color w:val="000000"/>
        </w:rPr>
        <w:fldChar w:fldCharType="end"/>
      </w:r>
      <w:r>
        <w:rPr>
          <w:rFonts w:hint="eastAsia" w:ascii="宋体" w:hAnsi="宋体" w:eastAsia="宋体" w:cs="宋体"/>
          <w:color w:val="000000"/>
          <w:szCs w:val="44"/>
        </w:rPr>
        <w:fldChar w:fldCharType="end"/>
      </w:r>
    </w:p>
    <w:p w14:paraId="3F2EB23A">
      <w:pPr>
        <w:pStyle w:val="46"/>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_Toc15022 </w:instrText>
      </w:r>
      <w:r>
        <w:rPr>
          <w:rFonts w:hint="eastAsia" w:ascii="宋体" w:hAnsi="宋体" w:eastAsia="宋体" w:cs="宋体"/>
          <w:color w:val="000000"/>
          <w:szCs w:val="44"/>
        </w:rPr>
        <w:fldChar w:fldCharType="separate"/>
      </w:r>
      <w:r>
        <w:rPr>
          <w:rFonts w:hint="eastAsia" w:ascii="宋体" w:hAnsi="宋体" w:eastAsia="宋体" w:cs="宋体"/>
          <w:color w:val="000000"/>
          <w:szCs w:val="24"/>
        </w:rPr>
        <w:t>（三）其它优惠承诺（格式自定）</w:t>
      </w:r>
      <w:r>
        <w:rPr>
          <w:color w:val="000000"/>
        </w:rPr>
        <w:tab/>
      </w:r>
      <w:r>
        <w:rPr>
          <w:color w:val="000000"/>
        </w:rPr>
        <w:fldChar w:fldCharType="begin"/>
      </w:r>
      <w:r>
        <w:rPr>
          <w:color w:val="000000"/>
        </w:rPr>
        <w:instrText xml:space="preserve"> PAGEREF _Toc15022 \h </w:instrText>
      </w:r>
      <w:r>
        <w:rPr>
          <w:color w:val="000000"/>
        </w:rPr>
        <w:fldChar w:fldCharType="separate"/>
      </w:r>
      <w:r>
        <w:rPr>
          <w:color w:val="000000"/>
        </w:rPr>
        <w:t>- 35 -</w:t>
      </w:r>
      <w:r>
        <w:rPr>
          <w:color w:val="000000"/>
        </w:rPr>
        <w:fldChar w:fldCharType="end"/>
      </w:r>
      <w:r>
        <w:rPr>
          <w:rFonts w:hint="eastAsia" w:ascii="宋体" w:hAnsi="宋体" w:eastAsia="宋体" w:cs="宋体"/>
          <w:color w:val="000000"/>
          <w:szCs w:val="44"/>
        </w:rPr>
        <w:fldChar w:fldCharType="end"/>
      </w:r>
    </w:p>
    <w:p w14:paraId="698A8372">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rPr>
      </w:pPr>
      <w:r>
        <w:rPr>
          <w:rFonts w:hint="eastAsia" w:ascii="宋体" w:hAnsi="宋体" w:eastAsia="宋体" w:cs="宋体"/>
          <w:color w:val="000000"/>
          <w:szCs w:val="44"/>
        </w:rPr>
        <w:fldChar w:fldCharType="begin"/>
      </w:r>
      <w:r>
        <w:rPr>
          <w:rFonts w:hint="eastAsia" w:ascii="宋体" w:hAnsi="宋体" w:eastAsia="宋体" w:cs="宋体"/>
          <w:color w:val="000000"/>
          <w:szCs w:val="44"/>
        </w:rPr>
        <w:instrText xml:space="preserve"> HYPERLINK \l _Toc9195 </w:instrText>
      </w:r>
      <w:r>
        <w:rPr>
          <w:rFonts w:hint="eastAsia" w:ascii="宋体" w:hAnsi="宋体" w:eastAsia="宋体" w:cs="宋体"/>
          <w:color w:val="000000"/>
          <w:szCs w:val="44"/>
        </w:rPr>
        <w:fldChar w:fldCharType="separate"/>
      </w:r>
      <w:r>
        <w:rPr>
          <w:rFonts w:hint="eastAsia" w:ascii="宋体" w:hAnsi="宋体" w:eastAsia="宋体" w:cs="宋体"/>
          <w:color w:val="000000"/>
        </w:rPr>
        <w:t>四、资格条件及其他</w:t>
      </w:r>
      <w:r>
        <w:rPr>
          <w:color w:val="000000"/>
        </w:rPr>
        <w:tab/>
      </w:r>
      <w:r>
        <w:rPr>
          <w:color w:val="000000"/>
        </w:rPr>
        <w:fldChar w:fldCharType="begin"/>
      </w:r>
      <w:r>
        <w:rPr>
          <w:color w:val="000000"/>
        </w:rPr>
        <w:instrText xml:space="preserve"> PAGEREF _Toc9195 \h </w:instrText>
      </w:r>
      <w:r>
        <w:rPr>
          <w:color w:val="000000"/>
        </w:rPr>
        <w:fldChar w:fldCharType="separate"/>
      </w:r>
      <w:r>
        <w:rPr>
          <w:color w:val="000000"/>
        </w:rPr>
        <w:t>- 36 -</w:t>
      </w:r>
      <w:r>
        <w:rPr>
          <w:color w:val="000000"/>
        </w:rPr>
        <w:fldChar w:fldCharType="end"/>
      </w:r>
      <w:r>
        <w:rPr>
          <w:rFonts w:hint="eastAsia" w:ascii="宋体" w:hAnsi="宋体" w:eastAsia="宋体" w:cs="宋体"/>
          <w:color w:val="000000"/>
          <w:szCs w:val="44"/>
        </w:rPr>
        <w:fldChar w:fldCharType="end"/>
      </w:r>
    </w:p>
    <w:p w14:paraId="4D0F1477">
      <w:pPr>
        <w:pStyle w:val="46"/>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color w:val="000000"/>
          <w:szCs w:val="44"/>
        </w:rPr>
      </w:pPr>
      <w:r>
        <w:rPr>
          <w:rFonts w:hint="eastAsia" w:ascii="宋体" w:hAnsi="宋体" w:eastAsia="宋体" w:cs="宋体"/>
          <w:color w:val="000000"/>
          <w:szCs w:val="44"/>
        </w:rPr>
        <w:fldChar w:fldCharType="end"/>
      </w:r>
    </w:p>
    <w:p w14:paraId="34A74048">
      <w:pPr>
        <w:rPr>
          <w:rFonts w:hint="eastAsia"/>
          <w:color w:val="000000"/>
        </w:rPr>
      </w:pPr>
    </w:p>
    <w:p w14:paraId="5088154F">
      <w:pPr>
        <w:rPr>
          <w:rFonts w:hint="eastAsia"/>
          <w:color w:val="000000"/>
        </w:rPr>
        <w:sectPr>
          <w:headerReference r:id="rId10" w:type="first"/>
          <w:footerReference r:id="rId13" w:type="first"/>
          <w:headerReference r:id="rId9" w:type="default"/>
          <w:footerReference r:id="rId11" w:type="default"/>
          <w:footerReference r:id="rId12" w:type="even"/>
          <w:pgSz w:w="11907" w:h="16840"/>
          <w:pgMar w:top="1134" w:right="1191" w:bottom="1134" w:left="1304" w:header="851" w:footer="992" w:gutter="0"/>
          <w:pgNumType w:fmt="numberInDash" w:start="1"/>
          <w:cols w:space="720" w:num="1"/>
          <w:docGrid w:linePitch="380" w:charSpace="-5735"/>
        </w:sectPr>
      </w:pPr>
    </w:p>
    <w:p w14:paraId="3E7C1DBE">
      <w:pPr>
        <w:pStyle w:val="4"/>
        <w:numPr>
          <w:ilvl w:val="0"/>
          <w:numId w:val="0"/>
        </w:numPr>
        <w:ind w:left="1320" w:leftChars="0" w:hanging="1320" w:firstLineChars="0"/>
        <w:rPr>
          <w:rFonts w:hint="eastAsia" w:ascii="宋体" w:hAnsi="宋体" w:eastAsia="宋体" w:cs="宋体"/>
          <w:color w:val="000000"/>
        </w:rPr>
      </w:pPr>
      <w:bookmarkStart w:id="1" w:name="_Toc18745"/>
      <w:bookmarkStart w:id="2" w:name="_Toc13055"/>
      <w:bookmarkStart w:id="3" w:name="_Toc11713"/>
      <w:bookmarkStart w:id="4" w:name="_Toc20412"/>
      <w:bookmarkStart w:id="5" w:name="_Toc11641050"/>
      <w:bookmarkStart w:id="6" w:name="_Toc54718170"/>
      <w:bookmarkStart w:id="7" w:name="_Toc12789052"/>
      <w:r>
        <w:rPr>
          <w:rFonts w:hint="default" w:ascii="宋体" w:hAnsi="宋体" w:eastAsia="宋体" w:cs="宋体"/>
          <w:b/>
          <w:color w:val="000000"/>
          <w:kern w:val="2"/>
          <w:sz w:val="44"/>
          <w:lang w:val="en-US" w:eastAsia="zh-CN" w:bidi="ar-SA"/>
        </w:rPr>
        <w:t>第一篇</w:t>
      </w:r>
      <w:r>
        <w:rPr>
          <w:rFonts w:hint="eastAsia" w:hAnsi="宋体" w:eastAsia="宋体" w:cs="宋体"/>
          <w:b/>
          <w:color w:val="000000"/>
          <w:kern w:val="2"/>
          <w:sz w:val="44"/>
          <w:lang w:val="en-US" w:eastAsia="zh-CN" w:bidi="ar-SA"/>
        </w:rPr>
        <w:t xml:space="preserve"> </w:t>
      </w:r>
      <w:r>
        <w:rPr>
          <w:rFonts w:hint="eastAsia" w:ascii="宋体" w:hAnsi="宋体" w:eastAsia="宋体" w:cs="宋体"/>
          <w:color w:val="000000"/>
        </w:rPr>
        <w:t>比选邀请书</w:t>
      </w:r>
      <w:bookmarkEnd w:id="1"/>
      <w:bookmarkEnd w:id="2"/>
      <w:bookmarkEnd w:id="3"/>
      <w:bookmarkEnd w:id="4"/>
      <w:bookmarkEnd w:id="5"/>
      <w:bookmarkEnd w:id="6"/>
      <w:bookmarkEnd w:id="7"/>
    </w:p>
    <w:p w14:paraId="31199807">
      <w:pPr>
        <w:ind w:firstLine="480" w:firstLineChars="200"/>
        <w:rPr>
          <w:rFonts w:hint="eastAsia" w:ascii="宋体" w:hAnsi="宋体" w:eastAsia="宋体" w:cs="宋体"/>
          <w:color w:val="000000"/>
        </w:rPr>
      </w:pPr>
      <w:r>
        <w:rPr>
          <w:rFonts w:hint="eastAsia" w:ascii="宋体" w:hAnsi="宋体" w:eastAsia="宋体" w:cs="宋体"/>
          <w:color w:val="000000"/>
          <w:sz w:val="24"/>
          <w:szCs w:val="24"/>
        </w:rPr>
        <w:t>重庆医科大学附属永川</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对</w:t>
      </w:r>
      <w:r>
        <w:rPr>
          <w:rFonts w:hint="eastAsia" w:ascii="宋体" w:hAnsi="宋体" w:eastAsia="宋体" w:cs="宋体"/>
          <w:color w:val="000000"/>
          <w:sz w:val="24"/>
          <w:szCs w:val="24"/>
          <w:lang w:eastAsia="zh-CN"/>
        </w:rPr>
        <w:t>信息中心机房软硬件和安全服务</w:t>
      </w:r>
      <w:r>
        <w:rPr>
          <w:rFonts w:hint="eastAsia" w:ascii="宋体" w:hAnsi="宋体" w:eastAsia="宋体" w:cs="宋体"/>
          <w:color w:val="000000"/>
          <w:sz w:val="24"/>
          <w:szCs w:val="24"/>
        </w:rPr>
        <w:t>项目进行院内比选采购。欢迎有资格、有实力的潜在供应商参加。</w:t>
      </w:r>
    </w:p>
    <w:p w14:paraId="76527F5C">
      <w:pPr>
        <w:pStyle w:val="5"/>
        <w:spacing w:before="0" w:beforeAutospacing="0"/>
        <w:ind w:firstLine="562" w:firstLineChars="200"/>
        <w:outlineLvl w:val="9"/>
        <w:rPr>
          <w:rFonts w:hint="eastAsia" w:ascii="宋体" w:hAnsi="宋体" w:eastAsia="宋体" w:cs="宋体"/>
          <w:color w:val="000000"/>
        </w:rPr>
      </w:pPr>
      <w:bookmarkStart w:id="8" w:name="_Toc313893526"/>
      <w:bookmarkStart w:id="9" w:name="_Toc8010"/>
      <w:bookmarkStart w:id="10" w:name="_Toc17728"/>
      <w:bookmarkStart w:id="11" w:name="_Toc317775175"/>
      <w:bookmarkStart w:id="12" w:name="_Toc54718171"/>
      <w:r>
        <w:rPr>
          <w:rFonts w:hint="eastAsia" w:ascii="宋体" w:hAnsi="宋体" w:eastAsia="宋体" w:cs="宋体"/>
          <w:color w:val="000000"/>
        </w:rPr>
        <w:t>一、比选项目内容</w:t>
      </w:r>
      <w:bookmarkEnd w:id="8"/>
      <w:bookmarkEnd w:id="9"/>
      <w:bookmarkEnd w:id="10"/>
      <w:bookmarkEnd w:id="11"/>
      <w:bookmarkEnd w:id="12"/>
    </w:p>
    <w:tbl>
      <w:tblPr>
        <w:tblStyle w:val="58"/>
        <w:tblpPr w:leftFromText="180" w:rightFromText="180" w:vertAnchor="text" w:tblpX="349"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3552"/>
        <w:gridCol w:w="2328"/>
      </w:tblGrid>
      <w:tr w14:paraId="3593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1" w:hRule="atLeast"/>
        </w:trPr>
        <w:tc>
          <w:tcPr>
            <w:tcW w:w="2880" w:type="dxa"/>
            <w:noWrap w:val="0"/>
            <w:vAlign w:val="center"/>
          </w:tcPr>
          <w:p w14:paraId="200B5863">
            <w:pPr>
              <w:keepNext w:val="0"/>
              <w:keepLines w:val="0"/>
              <w:suppressLineNumbers w:val="0"/>
              <w:spacing w:before="0" w:beforeAutospacing="0" w:after="0" w:afterAutospacing="0" w:line="400" w:lineRule="exact"/>
              <w:ind w:left="0" w:right="0" w:firstLine="480" w:firstLineChars="2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3552" w:type="dxa"/>
            <w:noWrap w:val="0"/>
            <w:vAlign w:val="top"/>
          </w:tcPr>
          <w:p w14:paraId="68710E9D">
            <w:pPr>
              <w:keepNext w:val="0"/>
              <w:keepLines w:val="0"/>
              <w:suppressLineNumbers w:val="0"/>
              <w:spacing w:before="0" w:beforeAutospacing="0" w:after="0" w:afterAutospacing="0" w:line="400" w:lineRule="exact"/>
              <w:ind w:left="720" w:right="0" w:hanging="720" w:hangingChars="3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成交供应商数量（名）</w:t>
            </w:r>
          </w:p>
        </w:tc>
        <w:tc>
          <w:tcPr>
            <w:tcW w:w="2328" w:type="dxa"/>
            <w:noWrap w:val="0"/>
            <w:vAlign w:val="center"/>
          </w:tcPr>
          <w:p w14:paraId="10B03AF1">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r>
      <w:tr w14:paraId="2559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880" w:type="dxa"/>
            <w:noWrap w:val="0"/>
            <w:vAlign w:val="center"/>
          </w:tcPr>
          <w:p w14:paraId="57A996E8">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信息中心机房软硬件和安全服务</w:t>
            </w:r>
          </w:p>
        </w:tc>
        <w:tc>
          <w:tcPr>
            <w:tcW w:w="3552" w:type="dxa"/>
            <w:noWrap w:val="0"/>
            <w:vAlign w:val="center"/>
          </w:tcPr>
          <w:p w14:paraId="59026741">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p>
        </w:tc>
        <w:tc>
          <w:tcPr>
            <w:tcW w:w="2328" w:type="dxa"/>
            <w:noWrap w:val="0"/>
            <w:vAlign w:val="center"/>
          </w:tcPr>
          <w:p w14:paraId="5812FACC">
            <w:pPr>
              <w:keepNext w:val="0"/>
              <w:keepLines w:val="0"/>
              <w:suppressLineNumbers w:val="0"/>
              <w:spacing w:before="0" w:beforeAutospacing="0" w:after="0" w:afterAutospacing="0" w:line="400" w:lineRule="exact"/>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服务期：2年</w:t>
            </w:r>
          </w:p>
        </w:tc>
      </w:tr>
    </w:tbl>
    <w:p w14:paraId="2B992CF4">
      <w:pPr>
        <w:spacing w:line="594" w:lineRule="exact"/>
        <w:ind w:firstLine="562" w:firstLineChars="200"/>
        <w:rPr>
          <w:rStyle w:val="68"/>
          <w:rFonts w:hint="default" w:ascii="宋体" w:hAnsi="宋体" w:eastAsia="宋体" w:cs="宋体"/>
          <w:color w:val="000000"/>
          <w:lang w:val="en-US" w:eastAsia="zh-CN"/>
        </w:rPr>
      </w:pPr>
      <w:bookmarkStart w:id="13" w:name="_Toc475"/>
      <w:bookmarkStart w:id="14" w:name="_Toc54718172"/>
      <w:bookmarkStart w:id="15" w:name="_Toc13046"/>
      <w:bookmarkStart w:id="16" w:name="_Toc5618"/>
      <w:bookmarkStart w:id="17" w:name="_Toc373860293"/>
      <w:bookmarkStart w:id="18" w:name="_Toc317775178"/>
      <w:r>
        <w:rPr>
          <w:rStyle w:val="68"/>
          <w:rFonts w:hint="eastAsia" w:ascii="宋体" w:hAnsi="宋体" w:eastAsia="宋体" w:cs="宋体"/>
          <w:color w:val="000000"/>
        </w:rPr>
        <w:t>二、资金来源</w:t>
      </w:r>
      <w:bookmarkEnd w:id="13"/>
      <w:bookmarkEnd w:id="14"/>
      <w:r>
        <w:rPr>
          <w:rStyle w:val="68"/>
          <w:rFonts w:hint="eastAsia" w:ascii="宋体" w:hAnsi="宋体" w:eastAsia="宋体" w:cs="宋体"/>
          <w:color w:val="000000"/>
          <w:lang w:eastAsia="zh-CN"/>
        </w:rPr>
        <w:t>与项目预算</w:t>
      </w:r>
      <w:bookmarkEnd w:id="15"/>
      <w:r>
        <w:rPr>
          <w:rStyle w:val="68"/>
          <w:rFonts w:hint="eastAsia" w:ascii="宋体" w:hAnsi="宋体" w:eastAsia="宋体" w:cs="宋体"/>
          <w:color w:val="000000"/>
          <w:lang w:eastAsia="zh-CN"/>
        </w:rPr>
        <w:t>：</w:t>
      </w:r>
      <w:r>
        <w:rPr>
          <w:rStyle w:val="68"/>
          <w:rFonts w:hint="eastAsia" w:ascii="宋体" w:hAnsi="宋体" w:eastAsia="宋体" w:cs="宋体"/>
          <w:color w:val="000000"/>
          <w:lang w:val="en-US" w:eastAsia="zh-CN"/>
        </w:rPr>
        <w:t>自筹资金,项目预算：48.6万元</w:t>
      </w:r>
    </w:p>
    <w:bookmarkEnd w:id="16"/>
    <w:p w14:paraId="787E8166">
      <w:pPr>
        <w:pStyle w:val="5"/>
        <w:spacing w:before="0" w:beforeAutospacing="0"/>
        <w:ind w:firstLine="562" w:firstLineChars="200"/>
        <w:outlineLvl w:val="9"/>
        <w:rPr>
          <w:rFonts w:hint="eastAsia" w:ascii="宋体" w:hAnsi="宋体" w:eastAsia="宋体" w:cs="宋体"/>
          <w:color w:val="000000"/>
        </w:rPr>
      </w:pPr>
      <w:bookmarkStart w:id="19" w:name="_Toc24661"/>
      <w:bookmarkStart w:id="20" w:name="_Toc54718173"/>
      <w:bookmarkStart w:id="21" w:name="_Toc29455"/>
      <w:r>
        <w:rPr>
          <w:rFonts w:hint="eastAsia" w:ascii="宋体" w:hAnsi="宋体" w:eastAsia="宋体" w:cs="宋体"/>
          <w:color w:val="000000"/>
        </w:rPr>
        <w:t>三、供应商资格</w:t>
      </w:r>
      <w:bookmarkEnd w:id="19"/>
      <w:bookmarkEnd w:id="20"/>
      <w:r>
        <w:rPr>
          <w:rFonts w:hint="eastAsia" w:ascii="宋体" w:hAnsi="宋体" w:eastAsia="宋体" w:cs="宋体"/>
          <w:color w:val="000000"/>
        </w:rPr>
        <w:t>要求</w:t>
      </w:r>
      <w:bookmarkEnd w:id="21"/>
    </w:p>
    <w:bookmarkEnd w:id="17"/>
    <w:bookmarkEnd w:id="18"/>
    <w:p w14:paraId="16DAFA9F">
      <w:pPr>
        <w:spacing w:line="400" w:lineRule="exact"/>
        <w:ind w:firstLine="480" w:firstLineChars="200"/>
        <w:rPr>
          <w:rFonts w:hint="eastAsia" w:ascii="宋体" w:hAnsi="宋体" w:eastAsia="宋体" w:cs="宋体"/>
          <w:color w:val="000000"/>
          <w:sz w:val="24"/>
          <w:szCs w:val="24"/>
        </w:rPr>
      </w:pPr>
      <w:bookmarkStart w:id="22" w:name="_Toc54718174"/>
      <w:bookmarkStart w:id="23" w:name="_Toc54171060"/>
      <w:bookmarkStart w:id="24" w:name="_Toc14397"/>
      <w:bookmarkStart w:id="25" w:name="_Toc102227313"/>
      <w:r>
        <w:rPr>
          <w:rFonts w:hint="eastAsia" w:ascii="宋体" w:hAnsi="宋体" w:eastAsia="宋体" w:cs="宋体"/>
          <w:color w:val="000000"/>
          <w:sz w:val="24"/>
          <w:szCs w:val="24"/>
        </w:rPr>
        <w:t>成交供应商是指向</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提供货物、工程或者服务的法人、其他组织或者自然人。以下简称供应商。合格的供应商应首先符合政府采购法第二十二条规定的基本条件，同时符合根据该项目特殊要求设置的特定资格条件。</w:t>
      </w:r>
    </w:p>
    <w:p w14:paraId="655101AF">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（一）基本资格条件</w:t>
      </w:r>
    </w:p>
    <w:p w14:paraId="7B20041A">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1.具有独立承担民事责任的能力；</w:t>
      </w:r>
    </w:p>
    <w:p w14:paraId="13B411BF">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2.具有良好的商业信誉和健全的财务会计制度；</w:t>
      </w:r>
    </w:p>
    <w:p w14:paraId="726D79EB">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3.具有履行合同所必需的设备和专业技术能力；</w:t>
      </w:r>
    </w:p>
    <w:p w14:paraId="744C4261">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4.有依法缴纳税收和社会保障资金的良好记录；</w:t>
      </w:r>
    </w:p>
    <w:p w14:paraId="5B09619F">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5.参加政府采购活动前三年内，在经营活动中没有重大违法记录；</w:t>
      </w:r>
    </w:p>
    <w:p w14:paraId="29A38C51">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6.法律、行政法规规定的其他条件。</w:t>
      </w:r>
    </w:p>
    <w:p w14:paraId="0EA115FF">
      <w:pPr>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（二）特定资格要求：</w:t>
      </w:r>
      <w:r>
        <w:rPr>
          <w:rFonts w:hint="eastAsia" w:ascii="宋体" w:hAnsi="宋体" w:eastAsia="宋体" w:cs="宋体"/>
          <w:color w:val="auto"/>
          <w:sz w:val="24"/>
          <w:szCs w:val="24"/>
          <w:highlight w:val="yellow"/>
        </w:rPr>
        <w:t>无。</w:t>
      </w:r>
    </w:p>
    <w:p w14:paraId="0C91DCA3">
      <w:pPr>
        <w:pStyle w:val="5"/>
        <w:spacing w:before="0" w:beforeAutospacing="0"/>
        <w:ind w:firstLine="562" w:firstLineChars="200"/>
        <w:outlineLvl w:val="9"/>
        <w:rPr>
          <w:rFonts w:hint="eastAsia" w:ascii="宋体" w:hAnsi="宋体" w:eastAsia="宋体" w:cs="宋体"/>
          <w:color w:val="000000"/>
        </w:rPr>
      </w:pPr>
      <w:bookmarkStart w:id="26" w:name="_Toc32107"/>
      <w:r>
        <w:rPr>
          <w:rFonts w:hint="eastAsia" w:ascii="宋体" w:hAnsi="宋体" w:eastAsia="宋体" w:cs="宋体"/>
          <w:color w:val="000000"/>
        </w:rPr>
        <w:t>四、比选有关说明</w:t>
      </w:r>
      <w:bookmarkEnd w:id="22"/>
      <w:bookmarkEnd w:id="23"/>
      <w:bookmarkEnd w:id="26"/>
    </w:p>
    <w:p w14:paraId="7967DE4E">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（一）凡有意参加比选的供应商，请在重庆医科大学附属永川</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官网下载本项目比选文件以及图纸、澄清等比选前公布的所有项目资料，无论供应商下载与否，均视为已知晓所有比选实质性要求内容。</w:t>
      </w:r>
    </w:p>
    <w:p w14:paraId="3CDA8CF6">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（二）比选公告期限：自采购公告发布之日（202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日）起</w:t>
      </w:r>
      <w:r>
        <w:rPr>
          <w:rFonts w:hint="eastAsia" w:ascii="宋体" w:hAnsi="宋体" w:eastAsia="宋体" w:cs="宋体"/>
          <w:color w:val="000000"/>
          <w:sz w:val="24"/>
          <w:szCs w:val="24"/>
          <w:lang w:eastAsia="zh-CN"/>
        </w:rPr>
        <w:t>三</w:t>
      </w:r>
      <w:r>
        <w:rPr>
          <w:rFonts w:hint="eastAsia" w:ascii="宋体" w:hAnsi="宋体" w:eastAsia="宋体" w:cs="宋体"/>
          <w:color w:val="000000"/>
          <w:sz w:val="24"/>
          <w:szCs w:val="24"/>
        </w:rPr>
        <w:t>个工作日。</w:t>
      </w:r>
    </w:p>
    <w:p w14:paraId="17BC01D1">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（三）报名方式</w:t>
      </w:r>
    </w:p>
    <w:p w14:paraId="598A5F04">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凡有意参加的供应商，请于202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00:00</w:t>
      </w:r>
      <w:r>
        <w:rPr>
          <w:rFonts w:hint="eastAsia" w:ascii="宋体" w:hAnsi="宋体" w:eastAsia="宋体" w:cs="宋体"/>
          <w:color w:val="000000"/>
          <w:sz w:val="24"/>
          <w:szCs w:val="24"/>
        </w:rPr>
        <w:t>时至</w:t>
      </w:r>
      <w:r>
        <w:rPr>
          <w:rFonts w:hint="eastAsia" w:ascii="宋体" w:hAnsi="宋体" w:eastAsia="宋体" w:cs="宋体"/>
          <w:color w:val="000000"/>
          <w:sz w:val="24"/>
          <w:szCs w:val="24"/>
          <w:lang w:val="en-US" w:eastAsia="zh-CN"/>
        </w:rPr>
        <w:t>2026</w:t>
      </w:r>
      <w:r>
        <w:rPr>
          <w:rFonts w:hint="eastAsia" w:ascii="宋体" w:hAnsi="宋体" w:eastAsia="宋体" w:cs="宋体"/>
          <w:color w:val="000000"/>
          <w:sz w:val="24"/>
          <w:szCs w:val="24"/>
        </w:rPr>
        <w:t>年</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24:00</w:t>
      </w:r>
      <w:r>
        <w:rPr>
          <w:rFonts w:hint="eastAsia" w:ascii="宋体" w:hAnsi="宋体" w:eastAsia="宋体" w:cs="宋体"/>
          <w:color w:val="000000"/>
          <w:sz w:val="24"/>
          <w:szCs w:val="24"/>
        </w:rPr>
        <w:t>时（法定公休日、法定节假日除外）</w:t>
      </w:r>
      <w:r>
        <w:rPr>
          <w:rFonts w:hint="eastAsia" w:ascii="宋体" w:hAnsi="宋体" w:eastAsia="宋体" w:cs="宋体"/>
          <w:b/>
          <w:bCs/>
          <w:color w:val="000000"/>
          <w:sz w:val="24"/>
          <w:szCs w:val="24"/>
          <w:u w:val="single"/>
          <w:lang w:eastAsia="zh-CN"/>
        </w:rPr>
        <w:t>现场递交</w:t>
      </w:r>
      <w:r>
        <w:rPr>
          <w:rFonts w:hint="eastAsia" w:ascii="宋体" w:hAnsi="宋体" w:eastAsia="宋体" w:cs="宋体"/>
          <w:b w:val="0"/>
          <w:bCs w:val="0"/>
          <w:color w:val="000000"/>
          <w:sz w:val="24"/>
          <w:szCs w:val="24"/>
          <w:lang w:eastAsia="zh-CN"/>
        </w:rPr>
        <w:t>或</w:t>
      </w:r>
      <w:r>
        <w:rPr>
          <w:rFonts w:hint="eastAsia" w:ascii="宋体" w:hAnsi="宋体" w:eastAsia="宋体" w:cs="宋体"/>
          <w:b/>
          <w:bCs/>
          <w:color w:val="000000"/>
          <w:sz w:val="24"/>
          <w:szCs w:val="24"/>
          <w:u w:val="single"/>
        </w:rPr>
        <w:t>顺丰邮寄纸质版</w:t>
      </w:r>
      <w:r>
        <w:rPr>
          <w:rFonts w:hint="eastAsia" w:ascii="宋体" w:hAnsi="宋体" w:eastAsia="宋体" w:cs="宋体"/>
          <w:b/>
          <w:bCs/>
          <w:color w:val="000000"/>
          <w:sz w:val="24"/>
          <w:szCs w:val="24"/>
        </w:rPr>
        <w:t>资质文件报名。</w:t>
      </w:r>
    </w:p>
    <w:p w14:paraId="5EB6345B">
      <w:pPr>
        <w:spacing w:line="400" w:lineRule="exact"/>
        <w:ind w:firstLine="482" w:firstLineChars="200"/>
        <w:jc w:val="left"/>
        <w:rPr>
          <w:rFonts w:hint="eastAsia" w:ascii="宋体" w:hAnsi="宋体" w:eastAsia="宋体" w:cs="宋体"/>
          <w:color w:val="000000"/>
          <w:sz w:val="24"/>
          <w:szCs w:val="24"/>
        </w:rPr>
      </w:pPr>
      <w:r>
        <w:rPr>
          <w:rFonts w:hint="eastAsia" w:ascii="宋体" w:hAnsi="宋体" w:eastAsia="宋体" w:cs="宋体"/>
          <w:b/>
          <w:bCs/>
          <w:color w:val="000000"/>
          <w:sz w:val="24"/>
          <w:szCs w:val="24"/>
        </w:rPr>
        <w:t>报名方式：</w:t>
      </w:r>
      <w:r>
        <w:rPr>
          <w:rFonts w:hint="eastAsia" w:ascii="宋体" w:hAnsi="宋体" w:eastAsia="宋体" w:cs="宋体"/>
          <w:b/>
          <w:bCs/>
          <w:color w:val="000000"/>
          <w:sz w:val="24"/>
          <w:szCs w:val="24"/>
        </w:rPr>
        <w:fldChar w:fldCharType="begin"/>
      </w:r>
      <w:r>
        <w:rPr>
          <w:rFonts w:hint="eastAsia" w:ascii="宋体" w:hAnsi="宋体" w:eastAsia="宋体" w:cs="宋体"/>
          <w:b/>
          <w:bCs/>
          <w:color w:val="000000"/>
          <w:sz w:val="24"/>
          <w:szCs w:val="24"/>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sz w:val="24"/>
          <w:szCs w:val="24"/>
        </w:rPr>
        <w:fldChar w:fldCharType="separate"/>
      </w:r>
      <w:r>
        <w:rPr>
          <w:rFonts w:hint="eastAsia" w:ascii="宋体" w:hAnsi="宋体" w:eastAsia="宋体" w:cs="宋体"/>
          <w:b/>
          <w:bCs/>
          <w:color w:val="000000"/>
          <w:sz w:val="24"/>
          <w:szCs w:val="24"/>
        </w:rPr>
        <w:fldChar w:fldCharType="begin"/>
      </w:r>
      <w:r>
        <w:rPr>
          <w:rFonts w:hint="eastAsia" w:ascii="宋体" w:hAnsi="宋体" w:eastAsia="宋体" w:cs="宋体"/>
          <w:b/>
          <w:bCs/>
          <w:color w:val="000000"/>
          <w:sz w:val="24"/>
          <w:szCs w:val="24"/>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sz w:val="24"/>
          <w:szCs w:val="24"/>
        </w:rPr>
        <w:fldChar w:fldCharType="separate"/>
      </w:r>
      <w:r>
        <w:rPr>
          <w:rFonts w:hint="eastAsia" w:ascii="宋体" w:hAnsi="宋体" w:eastAsia="宋体" w:cs="宋体"/>
          <w:b/>
          <w:bCs/>
          <w:color w:val="000000"/>
          <w:sz w:val="24"/>
          <w:szCs w:val="24"/>
        </w:rPr>
        <w:t>请务必将参与</w:t>
      </w:r>
      <w:r>
        <w:rPr>
          <w:rFonts w:hint="eastAsia" w:ascii="宋体" w:hAnsi="宋体" w:eastAsia="宋体" w:cs="宋体"/>
          <w:b/>
          <w:bCs/>
          <w:color w:val="000000"/>
          <w:sz w:val="24"/>
          <w:szCs w:val="24"/>
          <w:lang w:eastAsia="zh-CN"/>
        </w:rPr>
        <w:t>比选</w:t>
      </w:r>
      <w:r>
        <w:rPr>
          <w:rFonts w:hint="eastAsia" w:ascii="宋体" w:hAnsi="宋体" w:eastAsia="宋体" w:cs="宋体"/>
          <w:b/>
          <w:bCs/>
          <w:color w:val="000000"/>
          <w:sz w:val="24"/>
          <w:szCs w:val="24"/>
        </w:rPr>
        <w:t>的采购项目名称及采购项目编号、供应商名称、联系人名称及联系方式、电子邮箱地址</w:t>
      </w:r>
      <w:r>
        <w:rPr>
          <w:rFonts w:hint="eastAsia" w:ascii="宋体" w:hAnsi="宋体" w:eastAsia="宋体" w:cs="宋体"/>
          <w:b/>
          <w:bCs/>
          <w:color w:val="000000"/>
          <w:sz w:val="24"/>
          <w:szCs w:val="24"/>
          <w:lang w:eastAsia="zh-CN"/>
        </w:rPr>
        <w:t>、法人授权书</w:t>
      </w:r>
      <w:r>
        <w:rPr>
          <w:rFonts w:hint="eastAsia" w:ascii="宋体" w:hAnsi="宋体" w:eastAsia="宋体" w:cs="宋体"/>
          <w:b/>
          <w:bCs/>
          <w:color w:val="000000"/>
          <w:sz w:val="24"/>
          <w:szCs w:val="24"/>
        </w:rPr>
        <w:t>，供应商一般资质和特定资格要求等相关信息，盖鲜章后的清晰纸质版文件</w:t>
      </w:r>
      <w:r>
        <w:rPr>
          <w:rFonts w:hint="eastAsia" w:ascii="宋体" w:hAnsi="宋体" w:eastAsia="宋体" w:cs="宋体"/>
          <w:b/>
          <w:bCs/>
          <w:color w:val="000000"/>
          <w:sz w:val="24"/>
          <w:szCs w:val="24"/>
          <w:lang w:eastAsia="zh-CN"/>
        </w:rPr>
        <w:t>现场递交或者</w:t>
      </w:r>
      <w:r>
        <w:rPr>
          <w:rFonts w:hint="eastAsia" w:ascii="宋体" w:hAnsi="宋体" w:eastAsia="宋体" w:cs="宋体"/>
          <w:b/>
          <w:bCs/>
          <w:color w:val="000000"/>
          <w:sz w:val="24"/>
          <w:szCs w:val="24"/>
        </w:rPr>
        <w:t>通过</w:t>
      </w:r>
      <w:r>
        <w:rPr>
          <w:rFonts w:hint="eastAsia" w:ascii="宋体" w:hAnsi="宋体" w:eastAsia="宋体" w:cs="宋体"/>
          <w:b/>
          <w:bCs/>
          <w:color w:val="000000"/>
          <w:sz w:val="24"/>
          <w:szCs w:val="24"/>
          <w:u w:val="single"/>
        </w:rPr>
        <w:t>顺丰邮寄</w:t>
      </w:r>
      <w:r>
        <w:rPr>
          <w:rFonts w:hint="eastAsia" w:ascii="宋体" w:hAnsi="宋体" w:eastAsia="宋体" w:cs="宋体"/>
          <w:b/>
          <w:bCs/>
          <w:color w:val="000000"/>
          <w:sz w:val="24"/>
          <w:szCs w:val="24"/>
        </w:rPr>
        <w:t>给采购办</w:t>
      </w:r>
      <w:r>
        <w:rPr>
          <w:rFonts w:hint="eastAsia" w:ascii="宋体" w:hAnsi="宋体" w:eastAsia="宋体" w:cs="宋体"/>
          <w:b/>
          <w:bCs/>
          <w:color w:val="000000"/>
          <w:sz w:val="24"/>
          <w:szCs w:val="24"/>
          <w:lang w:eastAsia="zh-CN"/>
        </w:rPr>
        <w:t>李</w:t>
      </w:r>
      <w:r>
        <w:rPr>
          <w:rFonts w:hint="eastAsia" w:ascii="宋体" w:hAnsi="宋体" w:eastAsia="宋体" w:cs="宋体"/>
          <w:b/>
          <w:bCs/>
          <w:color w:val="000000"/>
          <w:sz w:val="24"/>
          <w:szCs w:val="24"/>
        </w:rPr>
        <w:t>老师收(收件地址:</w:t>
      </w:r>
      <w:r>
        <w:rPr>
          <w:rFonts w:hint="eastAsia" w:ascii="宋体" w:hAnsi="宋体" w:eastAsia="宋体" w:cs="宋体"/>
          <w:b/>
          <w:bCs/>
          <w:color w:val="000000"/>
          <w:sz w:val="24"/>
          <w:szCs w:val="24"/>
          <w:u w:val="single"/>
        </w:rPr>
        <w:t>重庆市永川区</w:t>
      </w:r>
      <w:r>
        <w:rPr>
          <w:rFonts w:hint="eastAsia" w:ascii="宋体" w:hAnsi="宋体" w:eastAsia="宋体" w:cs="宋体"/>
          <w:b/>
          <w:bCs/>
          <w:color w:val="000000"/>
          <w:sz w:val="24"/>
          <w:szCs w:val="24"/>
          <w:u w:val="single"/>
          <w:lang w:eastAsia="zh-CN"/>
        </w:rPr>
        <w:t>重医附属永川医院全科楼</w:t>
      </w:r>
      <w:r>
        <w:rPr>
          <w:rFonts w:hint="eastAsia" w:ascii="宋体" w:hAnsi="宋体" w:eastAsia="宋体" w:cs="宋体"/>
          <w:b/>
          <w:bCs/>
          <w:color w:val="000000"/>
          <w:sz w:val="24"/>
          <w:szCs w:val="24"/>
          <w:u w:val="single"/>
          <w:lang w:val="en-US" w:eastAsia="zh-CN"/>
        </w:rPr>
        <w:t>21楼</w:t>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eastAsia="zh-CN"/>
        </w:rPr>
        <w:t>李</w:t>
      </w:r>
      <w:r>
        <w:rPr>
          <w:rFonts w:hint="eastAsia" w:ascii="宋体" w:hAnsi="宋体" w:eastAsia="宋体" w:cs="宋体"/>
          <w:b/>
          <w:bCs/>
          <w:color w:val="000000"/>
          <w:sz w:val="24"/>
          <w:szCs w:val="24"/>
        </w:rPr>
        <w:t>老师:</w:t>
      </w:r>
      <w:r>
        <w:rPr>
          <w:rFonts w:hint="eastAsia" w:ascii="宋体" w:hAnsi="宋体" w:eastAsia="宋体" w:cs="宋体"/>
          <w:b/>
          <w:bCs/>
          <w:color w:val="000000"/>
          <w:sz w:val="24"/>
          <w:szCs w:val="24"/>
          <w:lang w:eastAsia="zh-CN"/>
        </w:rPr>
        <w:t>023</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lang w:eastAsia="zh-CN"/>
        </w:rPr>
        <w:t>85360767</w:t>
      </w:r>
      <w:r>
        <w:rPr>
          <w:rFonts w:hint="eastAsia" w:ascii="宋体" w:hAnsi="宋体" w:eastAsia="宋体" w:cs="宋体"/>
          <w:b/>
          <w:bCs/>
          <w:color w:val="000000"/>
          <w:sz w:val="24"/>
          <w:szCs w:val="24"/>
        </w:rPr>
        <w:t>,请一定使用</w:t>
      </w:r>
      <w:r>
        <w:rPr>
          <w:rFonts w:hint="eastAsia" w:ascii="宋体" w:hAnsi="宋体" w:eastAsia="宋体" w:cs="宋体"/>
          <w:b/>
          <w:bCs/>
          <w:color w:val="000000"/>
          <w:sz w:val="24"/>
          <w:szCs w:val="24"/>
          <w:u w:val="single"/>
        </w:rPr>
        <w:t>顺丰邮寄</w:t>
      </w:r>
      <w:r>
        <w:rPr>
          <w:rFonts w:hint="eastAsia" w:ascii="宋体" w:hAnsi="宋体" w:eastAsia="宋体" w:cs="宋体"/>
          <w:b/>
          <w:bCs/>
          <w:color w:val="000000"/>
          <w:sz w:val="24"/>
          <w:szCs w:val="24"/>
          <w:u w:val="none"/>
          <w:lang w:eastAsia="zh-CN"/>
        </w:rPr>
        <w:t>，拒收</w:t>
      </w:r>
      <w:r>
        <w:rPr>
          <w:rFonts w:hint="eastAsia" w:ascii="宋体" w:hAnsi="宋体" w:eastAsia="宋体" w:cs="宋体"/>
          <w:b/>
          <w:bCs/>
          <w:color w:val="000000"/>
          <w:sz w:val="24"/>
          <w:szCs w:val="24"/>
          <w:u w:val="single"/>
          <w:lang w:eastAsia="zh-CN"/>
        </w:rPr>
        <w:t>到付</w:t>
      </w:r>
      <w:r>
        <w:rPr>
          <w:rFonts w:hint="eastAsia" w:ascii="宋体" w:hAnsi="宋体" w:eastAsia="宋体" w:cs="宋体"/>
          <w:b/>
          <w:bCs/>
          <w:color w:val="000000"/>
          <w:sz w:val="24"/>
          <w:szCs w:val="24"/>
          <w:u w:val="none"/>
          <w:lang w:eastAsia="zh-CN"/>
        </w:rPr>
        <w:t>邮件</w:t>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rPr>
        <w:fldChar w:fldCharType="end"/>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rPr>
        <w:fldChar w:fldCharType="end"/>
      </w:r>
      <w:r>
        <w:rPr>
          <w:rFonts w:hint="eastAsia" w:ascii="宋体" w:hAnsi="宋体" w:eastAsia="宋体" w:cs="宋体"/>
          <w:color w:val="000000"/>
          <w:sz w:val="24"/>
          <w:szCs w:val="24"/>
        </w:rPr>
        <w:t>报名的单位名称必须与响应人名称相同，只有按上述规定报名后，才具备响应资格</w:t>
      </w:r>
      <w:r>
        <w:rPr>
          <w:rFonts w:hint="eastAsia" w:ascii="宋体" w:hAnsi="宋体" w:eastAsia="宋体" w:cs="宋体"/>
          <w:color w:val="000000"/>
          <w:sz w:val="28"/>
          <w:szCs w:val="28"/>
        </w:rPr>
        <w:t>。</w:t>
      </w:r>
    </w:p>
    <w:p w14:paraId="18AA7633">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（四）供应商须满足以下二种要件，其响应文件才被接受：</w:t>
      </w:r>
    </w:p>
    <w:p w14:paraId="557E6AFA">
      <w:pPr>
        <w:spacing w:line="400" w:lineRule="exact"/>
        <w:ind w:left="14" w:leftChars="5" w:firstLine="720" w:firstLineChars="3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按时</w:t>
      </w:r>
      <w:r>
        <w:rPr>
          <w:rFonts w:hint="eastAsia" w:ascii="宋体" w:hAnsi="宋体" w:eastAsia="宋体" w:cs="宋体"/>
          <w:color w:val="000000"/>
          <w:sz w:val="24"/>
          <w:szCs w:val="24"/>
          <w:lang w:eastAsia="zh-CN"/>
        </w:rPr>
        <w:t>递交纸质版报名资料</w:t>
      </w:r>
      <w:r>
        <w:rPr>
          <w:rFonts w:hint="eastAsia" w:ascii="宋体" w:hAnsi="宋体" w:eastAsia="宋体" w:cs="宋体"/>
          <w:color w:val="000000"/>
          <w:sz w:val="24"/>
          <w:szCs w:val="24"/>
        </w:rPr>
        <w:t>（</w:t>
      </w:r>
      <w:r>
        <w:rPr>
          <w:rFonts w:hint="eastAsia" w:ascii="宋体" w:hAnsi="宋体" w:eastAsia="宋体" w:cs="宋体"/>
          <w:b/>
          <w:bCs/>
          <w:color w:val="000000"/>
          <w:sz w:val="24"/>
          <w:szCs w:val="24"/>
          <w:u w:val="single"/>
        </w:rPr>
        <w:t>重庆市永川区</w:t>
      </w:r>
      <w:r>
        <w:rPr>
          <w:rFonts w:hint="eastAsia" w:ascii="宋体" w:hAnsi="宋体" w:eastAsia="宋体" w:cs="宋体"/>
          <w:b/>
          <w:bCs/>
          <w:color w:val="000000"/>
          <w:sz w:val="24"/>
          <w:szCs w:val="24"/>
          <w:u w:val="single"/>
          <w:lang w:eastAsia="zh-CN"/>
        </w:rPr>
        <w:t>重医附属永川医院全科楼</w:t>
      </w:r>
      <w:r>
        <w:rPr>
          <w:rFonts w:hint="eastAsia" w:ascii="宋体" w:hAnsi="宋体" w:eastAsia="宋体" w:cs="宋体"/>
          <w:b/>
          <w:bCs/>
          <w:color w:val="000000"/>
          <w:sz w:val="24"/>
          <w:szCs w:val="24"/>
          <w:u w:val="single"/>
          <w:lang w:val="en-US" w:eastAsia="zh-CN"/>
        </w:rPr>
        <w:t>21楼采购办</w:t>
      </w:r>
      <w:r>
        <w:rPr>
          <w:rFonts w:hint="eastAsia" w:ascii="宋体" w:hAnsi="宋体" w:eastAsia="宋体" w:cs="宋体"/>
          <w:color w:val="000000"/>
          <w:sz w:val="24"/>
          <w:szCs w:val="24"/>
        </w:rPr>
        <w:t>）。</w:t>
      </w:r>
    </w:p>
    <w:p w14:paraId="0F259316">
      <w:pPr>
        <w:spacing w:line="380" w:lineRule="exact"/>
        <w:ind w:firstLine="720" w:firstLineChars="3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按时递交了响应文件（</w:t>
      </w:r>
      <w:r>
        <w:rPr>
          <w:rFonts w:hint="eastAsia" w:ascii="宋体" w:hAnsi="宋体" w:eastAsia="宋体" w:cs="宋体"/>
          <w:b/>
          <w:bCs/>
          <w:color w:val="000000"/>
          <w:sz w:val="24"/>
          <w:szCs w:val="24"/>
          <w:u w:val="single"/>
        </w:rPr>
        <w:t>重庆市永川区</w:t>
      </w:r>
      <w:r>
        <w:rPr>
          <w:rFonts w:hint="eastAsia" w:ascii="宋体" w:hAnsi="宋体" w:eastAsia="宋体" w:cs="宋体"/>
          <w:b/>
          <w:bCs/>
          <w:color w:val="000000"/>
          <w:sz w:val="24"/>
          <w:szCs w:val="24"/>
          <w:u w:val="single"/>
          <w:lang w:eastAsia="zh-CN"/>
        </w:rPr>
        <w:t>重医附属永川医院全科楼</w:t>
      </w:r>
      <w:r>
        <w:rPr>
          <w:rFonts w:hint="eastAsia" w:ascii="宋体" w:hAnsi="宋体" w:eastAsia="宋体" w:cs="宋体"/>
          <w:b/>
          <w:bCs/>
          <w:color w:val="000000"/>
          <w:sz w:val="24"/>
          <w:szCs w:val="24"/>
          <w:u w:val="single"/>
          <w:lang w:val="en-US" w:eastAsia="zh-CN"/>
        </w:rPr>
        <w:t>21楼</w:t>
      </w:r>
      <w:r>
        <w:rPr>
          <w:rFonts w:hint="eastAsia" w:ascii="宋体" w:hAnsi="宋体" w:eastAsia="宋体" w:cs="宋体"/>
          <w:color w:val="000000"/>
          <w:sz w:val="24"/>
          <w:szCs w:val="24"/>
        </w:rPr>
        <w:t>）；</w:t>
      </w:r>
    </w:p>
    <w:p w14:paraId="2BB87A25">
      <w:pPr>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（五）比选地点：重庆医科大学附属永川</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综合楼</w:t>
      </w:r>
      <w:r>
        <w:rPr>
          <w:rFonts w:hint="eastAsia" w:ascii="宋体" w:hAnsi="宋体" w:eastAsia="宋体" w:cs="宋体"/>
          <w:color w:val="000000"/>
          <w:sz w:val="24"/>
          <w:szCs w:val="24"/>
          <w:lang w:eastAsia="zh-CN"/>
        </w:rPr>
        <w:t>四</w:t>
      </w:r>
      <w:r>
        <w:rPr>
          <w:rFonts w:hint="eastAsia" w:ascii="宋体" w:hAnsi="宋体" w:eastAsia="宋体" w:cs="宋体"/>
          <w:color w:val="000000"/>
          <w:sz w:val="24"/>
          <w:szCs w:val="24"/>
        </w:rPr>
        <w:t>楼会议室（</w:t>
      </w:r>
      <w:r>
        <w:rPr>
          <w:rFonts w:hint="eastAsia" w:ascii="宋体" w:hAnsi="宋体" w:eastAsia="宋体" w:cs="宋体"/>
          <w:b/>
          <w:bCs/>
          <w:color w:val="000000"/>
          <w:sz w:val="24"/>
          <w:szCs w:val="24"/>
          <w:u w:val="single"/>
        </w:rPr>
        <w:t>重庆市永川区</w:t>
      </w:r>
      <w:r>
        <w:rPr>
          <w:rFonts w:hint="eastAsia" w:ascii="宋体" w:hAnsi="宋体" w:eastAsia="宋体" w:cs="宋体"/>
          <w:b/>
          <w:bCs/>
          <w:color w:val="000000"/>
          <w:sz w:val="24"/>
          <w:szCs w:val="24"/>
          <w:u w:val="single"/>
          <w:lang w:eastAsia="zh-CN"/>
        </w:rPr>
        <w:t>重医附属永川医院全科楼</w:t>
      </w:r>
      <w:r>
        <w:rPr>
          <w:rFonts w:hint="eastAsia" w:ascii="宋体" w:hAnsi="宋体" w:eastAsia="宋体" w:cs="宋体"/>
          <w:b/>
          <w:bCs/>
          <w:color w:val="000000"/>
          <w:sz w:val="24"/>
          <w:szCs w:val="24"/>
          <w:u w:val="single"/>
          <w:lang w:val="en-US" w:eastAsia="zh-CN"/>
        </w:rPr>
        <w:t>21楼</w:t>
      </w:r>
      <w:r>
        <w:rPr>
          <w:rFonts w:hint="eastAsia" w:ascii="宋体" w:hAnsi="宋体" w:eastAsia="宋体" w:cs="宋体"/>
          <w:color w:val="000000"/>
          <w:sz w:val="24"/>
          <w:szCs w:val="24"/>
        </w:rPr>
        <w:t>）</w:t>
      </w:r>
    </w:p>
    <w:p w14:paraId="5369A747">
      <w:pPr>
        <w:spacing w:line="400" w:lineRule="exact"/>
        <w:ind w:left="14" w:leftChars="5" w:firstLine="482" w:firstLineChars="200"/>
        <w:jc w:val="both"/>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rPr>
        <w:t>（六）响应文件递交开始时间：</w:t>
      </w:r>
      <w:bookmarkStart w:id="27" w:name="_Toc26538"/>
      <w:r>
        <w:rPr>
          <w:rFonts w:hint="eastAsia" w:ascii="宋体" w:hAnsi="宋体" w:eastAsia="宋体" w:cs="宋体"/>
          <w:b/>
          <w:bCs/>
          <w:color w:val="000000"/>
          <w:sz w:val="24"/>
          <w:szCs w:val="24"/>
          <w:lang w:val="en-US" w:eastAsia="zh-CN"/>
        </w:rPr>
        <w:t>待定</w:t>
      </w:r>
      <w:r>
        <w:rPr>
          <w:rFonts w:hint="eastAsia" w:ascii="宋体" w:hAnsi="宋体" w:eastAsia="宋体" w:cs="宋体"/>
          <w:b/>
          <w:bCs/>
          <w:color w:val="000000"/>
          <w:sz w:val="24"/>
          <w:szCs w:val="24"/>
          <w:lang w:eastAsia="zh-CN"/>
        </w:rPr>
        <w:t>。见官网公告</w:t>
      </w:r>
    </w:p>
    <w:p w14:paraId="18393F2F">
      <w:pPr>
        <w:spacing w:line="400" w:lineRule="exact"/>
        <w:ind w:left="14" w:leftChars="5" w:firstLine="482" w:firstLineChars="200"/>
        <w:jc w:val="both"/>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（七）响应文件递交截止时间：</w:t>
      </w:r>
      <w:bookmarkEnd w:id="27"/>
      <w:r>
        <w:rPr>
          <w:rFonts w:hint="eastAsia" w:ascii="宋体" w:hAnsi="宋体" w:eastAsia="宋体" w:cs="宋体"/>
          <w:b/>
          <w:bCs/>
          <w:color w:val="000000"/>
          <w:sz w:val="24"/>
          <w:szCs w:val="24"/>
          <w:lang w:val="en-US" w:eastAsia="zh-CN"/>
        </w:rPr>
        <w:t>待定</w:t>
      </w:r>
      <w:r>
        <w:rPr>
          <w:rFonts w:hint="eastAsia" w:ascii="宋体" w:hAnsi="宋体" w:eastAsia="宋体" w:cs="宋体"/>
          <w:b/>
          <w:bCs/>
          <w:color w:val="000000"/>
          <w:sz w:val="24"/>
          <w:szCs w:val="24"/>
          <w:lang w:eastAsia="zh-CN"/>
        </w:rPr>
        <w:t>。见官网公告</w:t>
      </w:r>
    </w:p>
    <w:p w14:paraId="17143CF1">
      <w:pPr>
        <w:spacing w:line="400" w:lineRule="exact"/>
        <w:ind w:left="14" w:leftChars="5" w:firstLine="482" w:firstLineChars="200"/>
        <w:jc w:val="both"/>
        <w:rPr>
          <w:rFonts w:hint="eastAsia" w:ascii="宋体" w:hAnsi="宋体" w:eastAsia="宋体" w:cs="宋体"/>
          <w:b/>
          <w:bCs/>
          <w:color w:val="000000"/>
          <w:sz w:val="24"/>
          <w:szCs w:val="24"/>
        </w:rPr>
      </w:pPr>
      <w:bookmarkStart w:id="28" w:name="_Toc7033"/>
      <w:r>
        <w:rPr>
          <w:rFonts w:hint="eastAsia" w:ascii="宋体" w:hAnsi="宋体" w:eastAsia="宋体" w:cs="宋体"/>
          <w:b/>
          <w:bCs/>
          <w:color w:val="000000"/>
          <w:sz w:val="24"/>
          <w:szCs w:val="24"/>
        </w:rPr>
        <w:t>（八）比选开始时间：</w:t>
      </w:r>
      <w:bookmarkEnd w:id="28"/>
      <w:r>
        <w:rPr>
          <w:rFonts w:hint="eastAsia" w:ascii="宋体" w:hAnsi="宋体" w:eastAsia="宋体" w:cs="宋体"/>
          <w:b/>
          <w:bCs/>
          <w:color w:val="000000"/>
          <w:sz w:val="24"/>
          <w:szCs w:val="24"/>
          <w:lang w:val="en-US" w:eastAsia="zh-CN"/>
        </w:rPr>
        <w:t>待定</w:t>
      </w:r>
    </w:p>
    <w:p w14:paraId="46FC2381">
      <w:pPr>
        <w:pStyle w:val="5"/>
        <w:spacing w:before="0" w:beforeAutospacing="0"/>
        <w:ind w:firstLine="562" w:firstLineChars="200"/>
        <w:outlineLvl w:val="9"/>
        <w:rPr>
          <w:rFonts w:hint="eastAsia" w:ascii="宋体" w:hAnsi="宋体" w:eastAsia="宋体" w:cs="宋体"/>
          <w:color w:val="000000"/>
        </w:rPr>
      </w:pPr>
      <w:bookmarkStart w:id="29" w:name="_Toc2671"/>
      <w:r>
        <w:rPr>
          <w:rFonts w:hint="eastAsia" w:ascii="宋体" w:hAnsi="宋体" w:eastAsia="宋体" w:cs="宋体"/>
          <w:color w:val="000000"/>
        </w:rPr>
        <w:t>五、本项目无需购买比选文件</w:t>
      </w:r>
      <w:bookmarkEnd w:id="29"/>
    </w:p>
    <w:p w14:paraId="1E04424A">
      <w:pPr>
        <w:pStyle w:val="5"/>
        <w:spacing w:before="0" w:beforeAutospacing="0"/>
        <w:ind w:firstLine="562" w:firstLineChars="200"/>
        <w:outlineLvl w:val="9"/>
        <w:rPr>
          <w:rFonts w:hint="eastAsia" w:ascii="宋体" w:hAnsi="宋体" w:eastAsia="宋体" w:cs="宋体"/>
          <w:color w:val="000000"/>
        </w:rPr>
      </w:pPr>
      <w:bookmarkStart w:id="30" w:name="_Toc28931"/>
      <w:bookmarkStart w:id="31" w:name="_Toc1625"/>
      <w:bookmarkStart w:id="32" w:name="_Toc27530"/>
      <w:r>
        <w:rPr>
          <w:rFonts w:hint="eastAsia" w:ascii="宋体" w:hAnsi="宋体" w:eastAsia="宋体" w:cs="宋体"/>
          <w:color w:val="000000"/>
        </w:rPr>
        <w:t>六、其它有关规定</w:t>
      </w:r>
      <w:bookmarkEnd w:id="30"/>
      <w:bookmarkEnd w:id="31"/>
      <w:bookmarkEnd w:id="32"/>
    </w:p>
    <w:p w14:paraId="61516DD4">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（一）单位负责人为同一人或者存在直接控股、管理关系的不同供应商，不得参加同一合同项（分包）下的政府采购活动，否则均为无效比选。</w:t>
      </w:r>
    </w:p>
    <w:p w14:paraId="1B165950">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（二）为采购项目提供整体设计、规范编制或者项目管理、监理、检测等服务的供应商，不得再参加该采购项目的其他采购活动。</w:t>
      </w:r>
    </w:p>
    <w:p w14:paraId="3F6F24D1">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（三）同一合同项（分包）下为单一品目的货物采购中， 同一品牌同一型号产品有多家供应商参加比选，只能按照一家供应商计算。</w:t>
      </w:r>
    </w:p>
    <w:p w14:paraId="38AB3EB4">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（四）同一合同项（分包）下的货物，制造商参与比选的，不得再委托代理商参与比选。</w:t>
      </w:r>
    </w:p>
    <w:p w14:paraId="685B26DC">
      <w:pPr>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（五）本项目在响应文件提交截止时间前发布的比选文件及补遗文件（如果有）一律在重庆医科大学附属永川</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官网上发布，请各供应商注意下载；无论供应商下载或与否，均视同供应商已知晓本项目澄清文件（如果有）的内容。</w:t>
      </w:r>
    </w:p>
    <w:p w14:paraId="194AA510">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（六）未</w:t>
      </w:r>
      <w:r>
        <w:rPr>
          <w:rFonts w:hint="eastAsia" w:ascii="宋体" w:hAnsi="宋体" w:eastAsia="宋体" w:cs="宋体"/>
          <w:color w:val="000000"/>
          <w:sz w:val="24"/>
          <w:szCs w:val="24"/>
          <w:lang w:eastAsia="zh-CN"/>
        </w:rPr>
        <w:t>按时</w:t>
      </w:r>
      <w:r>
        <w:rPr>
          <w:rFonts w:hint="eastAsia" w:ascii="宋体" w:hAnsi="宋体" w:eastAsia="宋体" w:cs="宋体"/>
          <w:color w:val="000000"/>
          <w:sz w:val="24"/>
          <w:szCs w:val="24"/>
        </w:rPr>
        <w:t>报名的，其响应文件恕不接收，超过响应文件截止时间递交的响应文件，恕不接收。</w:t>
      </w:r>
    </w:p>
    <w:p w14:paraId="7A322329">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（七）比选费用：无论比选结果如何，供应商参与本项目比选的所有费用均应由供应商自行承担。</w:t>
      </w:r>
    </w:p>
    <w:p w14:paraId="3E5E9552">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（八）本项目不接受联合体参与比选或不接受合同分包、转包。</w:t>
      </w:r>
    </w:p>
    <w:p w14:paraId="09E39F09">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采购活动。</w:t>
      </w:r>
    </w:p>
    <w:p w14:paraId="7E82165C">
      <w:pPr>
        <w:pStyle w:val="5"/>
        <w:spacing w:before="0" w:beforeAutospacing="0"/>
        <w:ind w:firstLine="562" w:firstLineChars="200"/>
        <w:outlineLvl w:val="9"/>
        <w:rPr>
          <w:rFonts w:hint="eastAsia" w:ascii="宋体" w:hAnsi="宋体" w:eastAsia="宋体" w:cs="宋体"/>
          <w:color w:val="000000"/>
        </w:rPr>
      </w:pPr>
      <w:bookmarkStart w:id="33" w:name="_Toc54718178"/>
      <w:bookmarkStart w:id="34" w:name="_Toc54171064"/>
      <w:bookmarkStart w:id="35" w:name="_Toc480466700"/>
      <w:bookmarkStart w:id="36" w:name="_Toc19061"/>
      <w:r>
        <w:rPr>
          <w:rFonts w:hint="eastAsia" w:ascii="宋体" w:hAnsi="宋体" w:eastAsia="宋体" w:cs="宋体"/>
          <w:color w:val="000000"/>
          <w:lang w:eastAsia="zh-CN"/>
        </w:rPr>
        <w:t>七</w:t>
      </w:r>
      <w:r>
        <w:rPr>
          <w:rFonts w:hint="eastAsia" w:ascii="宋体" w:hAnsi="宋体" w:eastAsia="宋体" w:cs="宋体"/>
          <w:color w:val="000000"/>
        </w:rPr>
        <w:t>、联系方式</w:t>
      </w:r>
      <w:bookmarkEnd w:id="33"/>
      <w:bookmarkEnd w:id="34"/>
      <w:bookmarkEnd w:id="35"/>
      <w:bookmarkEnd w:id="36"/>
      <w:bookmarkStart w:id="203" w:name="_GoBack"/>
      <w:bookmarkEnd w:id="203"/>
    </w:p>
    <w:p w14:paraId="548D8573">
      <w:pPr>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（一）</w:t>
      </w:r>
      <w:r>
        <w:rPr>
          <w:rFonts w:hint="eastAsia" w:ascii="宋体" w:hAnsi="宋体" w:eastAsia="宋体" w:cs="宋体"/>
          <w:color w:val="000000"/>
          <w:sz w:val="24"/>
          <w:szCs w:val="24"/>
        </w:rPr>
        <w:t>采购人：重庆医科大学附属永川</w:t>
      </w:r>
      <w:r>
        <w:rPr>
          <w:rFonts w:hint="eastAsia" w:ascii="宋体" w:hAnsi="宋体" w:eastAsia="宋体" w:cs="宋体"/>
          <w:color w:val="000000"/>
          <w:sz w:val="24"/>
          <w:szCs w:val="24"/>
          <w:lang w:eastAsia="zh-CN"/>
        </w:rPr>
        <w:t>医院</w:t>
      </w:r>
    </w:p>
    <w:p w14:paraId="7ECE65CF">
      <w:pPr>
        <w:spacing w:line="400" w:lineRule="exact"/>
        <w:ind w:firstLine="1200" w:firstLineChars="500"/>
        <w:rPr>
          <w:rFonts w:hint="eastAsia" w:ascii="宋体" w:hAnsi="宋体" w:eastAsia="宋体" w:cs="宋体"/>
          <w:color w:val="000000"/>
          <w:sz w:val="24"/>
          <w:szCs w:val="24"/>
        </w:rPr>
      </w:pPr>
      <w:r>
        <w:rPr>
          <w:rFonts w:hint="eastAsia" w:ascii="宋体" w:hAnsi="宋体" w:eastAsia="宋体" w:cs="宋体"/>
          <w:color w:val="000000"/>
          <w:sz w:val="24"/>
          <w:szCs w:val="24"/>
        </w:rPr>
        <w:t>联系人：</w:t>
      </w:r>
      <w:r>
        <w:rPr>
          <w:rFonts w:hint="eastAsia" w:ascii="宋体" w:hAnsi="宋体" w:eastAsia="宋体" w:cs="宋体"/>
          <w:color w:val="000000"/>
          <w:sz w:val="24"/>
          <w:szCs w:val="24"/>
          <w:lang w:eastAsia="zh-CN"/>
        </w:rPr>
        <w:t>李</w:t>
      </w:r>
      <w:r>
        <w:rPr>
          <w:rFonts w:hint="eastAsia" w:ascii="宋体" w:hAnsi="宋体" w:eastAsia="宋体" w:cs="宋体"/>
          <w:color w:val="000000"/>
          <w:sz w:val="24"/>
          <w:szCs w:val="24"/>
        </w:rPr>
        <w:t>老师</w:t>
      </w:r>
    </w:p>
    <w:p w14:paraId="13D498F0">
      <w:pPr>
        <w:spacing w:line="400" w:lineRule="exact"/>
        <w:ind w:firstLine="1200" w:firstLineChars="500"/>
        <w:rPr>
          <w:rFonts w:hint="eastAsia" w:ascii="宋体" w:hAnsi="宋体" w:eastAsia="宋体" w:cs="宋体"/>
          <w:color w:val="000000"/>
          <w:sz w:val="24"/>
          <w:szCs w:val="24"/>
        </w:rPr>
      </w:pPr>
      <w:r>
        <w:rPr>
          <w:rFonts w:hint="eastAsia" w:ascii="宋体" w:hAnsi="宋体" w:eastAsia="宋体" w:cs="宋体"/>
          <w:color w:val="000000"/>
          <w:sz w:val="24"/>
          <w:szCs w:val="24"/>
        </w:rPr>
        <w:t>电  话：（023）</w:t>
      </w:r>
      <w:r>
        <w:rPr>
          <w:rFonts w:hint="eastAsia" w:ascii="宋体" w:hAnsi="宋体" w:eastAsia="宋体" w:cs="宋体"/>
          <w:b/>
          <w:bCs/>
          <w:color w:val="000000"/>
          <w:sz w:val="24"/>
          <w:szCs w:val="24"/>
          <w:lang w:eastAsia="zh-CN"/>
        </w:rPr>
        <w:t>85360767</w:t>
      </w:r>
      <w:r>
        <w:rPr>
          <w:rFonts w:hint="eastAsia" w:ascii="宋体" w:hAnsi="宋体" w:eastAsia="宋体" w:cs="宋体"/>
          <w:color w:val="000000"/>
          <w:sz w:val="24"/>
          <w:szCs w:val="24"/>
        </w:rPr>
        <w:t xml:space="preserve">  </w:t>
      </w:r>
    </w:p>
    <w:p w14:paraId="42E0F72D">
      <w:pPr>
        <w:spacing w:line="400" w:lineRule="exact"/>
        <w:ind w:firstLine="1200" w:firstLineChars="5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地  址： </w:t>
      </w:r>
      <w:bookmarkStart w:id="37" w:name="_Toc25763"/>
      <w:bookmarkStart w:id="38" w:name="_Toc32294"/>
      <w:bookmarkStart w:id="39" w:name="_Toc5872"/>
      <w:bookmarkStart w:id="40" w:name="_Toc54718179"/>
      <w:r>
        <w:rPr>
          <w:rFonts w:hint="eastAsia" w:ascii="宋体" w:hAnsi="宋体" w:eastAsia="宋体" w:cs="宋体"/>
          <w:b/>
          <w:bCs/>
          <w:color w:val="000000"/>
          <w:sz w:val="24"/>
          <w:szCs w:val="24"/>
          <w:u w:val="single"/>
        </w:rPr>
        <w:t>重庆市永川区</w:t>
      </w:r>
      <w:r>
        <w:rPr>
          <w:rFonts w:hint="eastAsia" w:ascii="宋体" w:hAnsi="宋体" w:eastAsia="宋体" w:cs="宋体"/>
          <w:b/>
          <w:bCs/>
          <w:color w:val="000000"/>
          <w:sz w:val="24"/>
          <w:szCs w:val="24"/>
          <w:u w:val="single"/>
          <w:lang w:eastAsia="zh-CN"/>
        </w:rPr>
        <w:t>重医附属永川医院全科楼</w:t>
      </w:r>
      <w:r>
        <w:rPr>
          <w:rFonts w:hint="eastAsia" w:ascii="宋体" w:hAnsi="宋体" w:eastAsia="宋体" w:cs="宋体"/>
          <w:b/>
          <w:bCs/>
          <w:color w:val="000000"/>
          <w:sz w:val="24"/>
          <w:szCs w:val="24"/>
          <w:u w:val="single"/>
          <w:lang w:val="en-US" w:eastAsia="zh-CN"/>
        </w:rPr>
        <w:t>21楼</w:t>
      </w:r>
    </w:p>
    <w:p w14:paraId="478102F0">
      <w:pPr>
        <w:spacing w:line="400" w:lineRule="exact"/>
        <w:ind w:firstLine="480" w:firstLineChars="200"/>
        <w:rPr>
          <w:rFonts w:hint="default" w:ascii="宋体" w:hAnsi="宋体" w:eastAsia="宋体" w:cs="宋体"/>
          <w:color w:val="auto"/>
          <w:sz w:val="24"/>
          <w:szCs w:val="24"/>
          <w:highlight w:val="yellow"/>
          <w:lang w:val="en-US" w:eastAsia="zh-CN"/>
        </w:rPr>
      </w:pPr>
      <w:r>
        <w:rPr>
          <w:rFonts w:hint="default" w:ascii="宋体" w:hAnsi="宋体" w:eastAsia="宋体" w:cs="宋体"/>
          <w:color w:val="auto"/>
          <w:sz w:val="24"/>
          <w:szCs w:val="24"/>
          <w:highlight w:val="yellow"/>
          <w:lang w:val="en-US" w:eastAsia="zh-CN"/>
        </w:rPr>
        <w:t>（二）采购代理机构：重庆鸿兴招标代理有限公司</w:t>
      </w:r>
    </w:p>
    <w:p w14:paraId="5BD6BC3F">
      <w:pPr>
        <w:spacing w:line="400" w:lineRule="exact"/>
        <w:ind w:firstLine="1200" w:firstLineChars="500"/>
        <w:rPr>
          <w:rFonts w:hint="default" w:ascii="宋体" w:hAnsi="宋体" w:eastAsia="宋体" w:cs="宋体"/>
          <w:color w:val="auto"/>
          <w:sz w:val="24"/>
          <w:szCs w:val="24"/>
          <w:highlight w:val="yellow"/>
          <w:lang w:val="en-US" w:eastAsia="zh-CN"/>
        </w:rPr>
      </w:pPr>
      <w:r>
        <w:rPr>
          <w:rFonts w:hint="default" w:ascii="宋体" w:hAnsi="宋体" w:eastAsia="宋体" w:cs="宋体"/>
          <w:color w:val="auto"/>
          <w:sz w:val="24"/>
          <w:szCs w:val="24"/>
          <w:highlight w:val="yellow"/>
          <w:lang w:val="en-US" w:eastAsia="zh-CN"/>
        </w:rPr>
        <w:t>联系人：周老师</w:t>
      </w:r>
    </w:p>
    <w:p w14:paraId="35879995">
      <w:pPr>
        <w:spacing w:line="400" w:lineRule="exact"/>
        <w:ind w:firstLine="1200" w:firstLineChars="500"/>
        <w:rPr>
          <w:rFonts w:hint="default" w:ascii="宋体" w:hAnsi="宋体" w:eastAsia="宋体" w:cs="宋体"/>
          <w:color w:val="auto"/>
          <w:sz w:val="24"/>
          <w:szCs w:val="24"/>
          <w:highlight w:val="yellow"/>
          <w:lang w:val="en-US" w:eastAsia="zh-CN"/>
        </w:rPr>
      </w:pPr>
      <w:r>
        <w:rPr>
          <w:rFonts w:hint="default" w:ascii="宋体" w:hAnsi="宋体" w:eastAsia="宋体" w:cs="宋体"/>
          <w:color w:val="auto"/>
          <w:sz w:val="24"/>
          <w:szCs w:val="24"/>
          <w:highlight w:val="yellow"/>
          <w:lang w:val="en-US" w:eastAsia="zh-CN"/>
        </w:rPr>
        <w:t>电  话：19946997890</w:t>
      </w:r>
    </w:p>
    <w:p w14:paraId="31807FD2">
      <w:pPr>
        <w:spacing w:line="400" w:lineRule="exact"/>
        <w:ind w:firstLine="1200" w:firstLineChars="500"/>
        <w:rPr>
          <w:rFonts w:hint="default" w:ascii="宋体" w:hAnsi="宋体" w:eastAsia="宋体" w:cs="宋体"/>
          <w:color w:val="auto"/>
          <w:sz w:val="24"/>
          <w:szCs w:val="24"/>
          <w:highlight w:val="yellow"/>
          <w:lang w:val="en-US" w:eastAsia="zh-CN"/>
        </w:rPr>
      </w:pPr>
      <w:r>
        <w:rPr>
          <w:rFonts w:hint="default" w:ascii="宋体" w:hAnsi="宋体" w:eastAsia="宋体" w:cs="宋体"/>
          <w:color w:val="auto"/>
          <w:sz w:val="24"/>
          <w:szCs w:val="24"/>
          <w:highlight w:val="yellow"/>
          <w:lang w:val="en-US" w:eastAsia="zh-CN"/>
        </w:rPr>
        <w:t>地  址：重庆市永川区内环南路777号一区12幢附41号</w:t>
      </w:r>
    </w:p>
    <w:p w14:paraId="0E860205">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1385447F">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0ADFD47B">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4097C32E">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4A3B33D7">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6BB61C53">
      <w:pPr>
        <w:pStyle w:val="4"/>
        <w:numPr>
          <w:ilvl w:val="0"/>
          <w:numId w:val="0"/>
        </w:numPr>
        <w:jc w:val="both"/>
        <w:rPr>
          <w:rFonts w:hint="default" w:ascii="宋体" w:hAnsi="宋体" w:eastAsia="宋体" w:cs="宋体"/>
          <w:b/>
          <w:color w:val="000000"/>
          <w:kern w:val="2"/>
          <w:sz w:val="44"/>
          <w:lang w:val="en-US" w:eastAsia="zh-CN" w:bidi="ar-SA"/>
        </w:rPr>
      </w:pPr>
    </w:p>
    <w:p w14:paraId="2DFCF71F">
      <w:pPr>
        <w:rPr>
          <w:rFonts w:hint="default"/>
          <w:lang w:val="en-US" w:eastAsia="zh-CN"/>
        </w:rPr>
      </w:pPr>
    </w:p>
    <w:p w14:paraId="3D62BC09">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7293E732">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096BAFCB">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21DA091D">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2C0FCB86">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70275C56">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1886BC42">
      <w:pPr>
        <w:pStyle w:val="4"/>
        <w:numPr>
          <w:ilvl w:val="0"/>
          <w:numId w:val="0"/>
        </w:numPr>
        <w:jc w:val="both"/>
        <w:rPr>
          <w:rFonts w:hint="default" w:ascii="宋体" w:hAnsi="宋体" w:eastAsia="宋体" w:cs="宋体"/>
          <w:b/>
          <w:color w:val="000000"/>
          <w:kern w:val="2"/>
          <w:sz w:val="44"/>
          <w:lang w:val="en-US" w:eastAsia="zh-CN" w:bidi="ar-SA"/>
        </w:rPr>
      </w:pPr>
    </w:p>
    <w:p w14:paraId="2C40546A">
      <w:pPr>
        <w:pStyle w:val="3"/>
        <w:rPr>
          <w:rFonts w:hint="default"/>
          <w:lang w:val="en-US" w:eastAsia="zh-CN"/>
        </w:rPr>
      </w:pPr>
    </w:p>
    <w:p w14:paraId="6E642DD3">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4E045765">
      <w:pPr>
        <w:pStyle w:val="4"/>
        <w:numPr>
          <w:ilvl w:val="0"/>
          <w:numId w:val="0"/>
        </w:numPr>
        <w:jc w:val="both"/>
        <w:rPr>
          <w:rFonts w:hint="default" w:ascii="宋体" w:hAnsi="宋体" w:eastAsia="宋体" w:cs="宋体"/>
          <w:b/>
          <w:color w:val="000000"/>
          <w:kern w:val="2"/>
          <w:sz w:val="44"/>
          <w:lang w:val="en-US" w:eastAsia="zh-CN" w:bidi="ar-SA"/>
        </w:rPr>
      </w:pPr>
    </w:p>
    <w:p w14:paraId="2AE50929">
      <w:pPr>
        <w:pStyle w:val="4"/>
        <w:numPr>
          <w:ilvl w:val="0"/>
          <w:numId w:val="0"/>
        </w:numPr>
        <w:ind w:left="1320" w:leftChars="0" w:hanging="1320" w:firstLineChars="0"/>
        <w:rPr>
          <w:rFonts w:hint="default" w:ascii="宋体" w:hAnsi="宋体" w:eastAsia="宋体" w:cs="宋体"/>
          <w:b/>
          <w:color w:val="000000"/>
          <w:kern w:val="2"/>
          <w:sz w:val="44"/>
          <w:lang w:val="en-US" w:eastAsia="zh-CN" w:bidi="ar-SA"/>
        </w:rPr>
      </w:pPr>
    </w:p>
    <w:p w14:paraId="66F8B537">
      <w:pPr>
        <w:pStyle w:val="4"/>
        <w:numPr>
          <w:ilvl w:val="0"/>
          <w:numId w:val="0"/>
        </w:numPr>
        <w:jc w:val="both"/>
        <w:rPr>
          <w:rFonts w:hint="default" w:ascii="宋体" w:hAnsi="宋体" w:eastAsia="宋体" w:cs="宋体"/>
          <w:b/>
          <w:color w:val="000000"/>
          <w:kern w:val="2"/>
          <w:sz w:val="44"/>
          <w:lang w:val="en-US" w:eastAsia="zh-CN" w:bidi="ar-SA"/>
        </w:rPr>
      </w:pPr>
    </w:p>
    <w:p w14:paraId="66EE0EB5">
      <w:pPr>
        <w:rPr>
          <w:rFonts w:hint="default"/>
          <w:lang w:val="en-US" w:eastAsia="zh-CN"/>
        </w:rPr>
      </w:pPr>
    </w:p>
    <w:p w14:paraId="666D1370">
      <w:pPr>
        <w:pStyle w:val="4"/>
        <w:numPr>
          <w:ilvl w:val="0"/>
          <w:numId w:val="0"/>
        </w:numPr>
        <w:jc w:val="both"/>
        <w:rPr>
          <w:rFonts w:hint="default" w:ascii="宋体" w:hAnsi="宋体" w:eastAsia="宋体" w:cs="宋体"/>
          <w:b/>
          <w:color w:val="000000"/>
          <w:kern w:val="2"/>
          <w:sz w:val="44"/>
          <w:lang w:val="en-US" w:eastAsia="zh-CN" w:bidi="ar-SA"/>
        </w:rPr>
      </w:pPr>
    </w:p>
    <w:p w14:paraId="0D0CEB32">
      <w:pPr>
        <w:rPr>
          <w:rFonts w:hint="default" w:ascii="宋体" w:hAnsi="宋体" w:eastAsia="宋体" w:cs="宋体"/>
          <w:b/>
          <w:color w:val="000000"/>
          <w:kern w:val="2"/>
          <w:sz w:val="44"/>
          <w:lang w:val="en-US" w:eastAsia="zh-CN" w:bidi="ar-SA"/>
        </w:rPr>
      </w:pPr>
    </w:p>
    <w:p w14:paraId="2B9C766C">
      <w:pPr>
        <w:pStyle w:val="3"/>
        <w:rPr>
          <w:rFonts w:hint="default"/>
          <w:lang w:val="en-US" w:eastAsia="zh-CN"/>
        </w:rPr>
      </w:pPr>
    </w:p>
    <w:p w14:paraId="69E75A95">
      <w:pPr>
        <w:pStyle w:val="4"/>
        <w:numPr>
          <w:ilvl w:val="0"/>
          <w:numId w:val="0"/>
        </w:numPr>
        <w:jc w:val="center"/>
        <w:rPr>
          <w:rFonts w:hint="eastAsia" w:ascii="宋体" w:hAnsi="宋体" w:eastAsia="宋体" w:cs="宋体"/>
          <w:color w:val="000000"/>
        </w:rPr>
      </w:pPr>
      <w:r>
        <w:rPr>
          <w:rFonts w:hint="default" w:ascii="宋体" w:hAnsi="宋体" w:eastAsia="宋体" w:cs="宋体"/>
          <w:b/>
          <w:color w:val="000000"/>
          <w:kern w:val="2"/>
          <w:sz w:val="44"/>
          <w:lang w:val="en-US" w:eastAsia="zh-CN" w:bidi="ar-SA"/>
        </w:rPr>
        <w:t>第二篇</w:t>
      </w:r>
      <w:r>
        <w:rPr>
          <w:rFonts w:hint="eastAsia" w:hAnsi="宋体" w:eastAsia="宋体" w:cs="宋体"/>
          <w:b/>
          <w:color w:val="000000"/>
          <w:kern w:val="2"/>
          <w:sz w:val="44"/>
          <w:lang w:val="en-US" w:eastAsia="zh-CN" w:bidi="ar-SA"/>
        </w:rPr>
        <w:t xml:space="preserve"> </w:t>
      </w:r>
      <w:r>
        <w:rPr>
          <w:rFonts w:hint="eastAsia" w:ascii="宋体" w:hAnsi="宋体" w:eastAsia="宋体" w:cs="宋体"/>
          <w:color w:val="000000"/>
        </w:rPr>
        <w:t>供应商须知</w:t>
      </w:r>
      <w:bookmarkEnd w:id="37"/>
      <w:bookmarkEnd w:id="38"/>
      <w:bookmarkEnd w:id="39"/>
    </w:p>
    <w:p w14:paraId="69404E78">
      <w:pPr>
        <w:pStyle w:val="5"/>
        <w:spacing w:before="0" w:beforeAutospacing="0"/>
        <w:ind w:firstLine="562" w:firstLineChars="200"/>
        <w:outlineLvl w:val="9"/>
        <w:rPr>
          <w:rFonts w:hint="eastAsia" w:ascii="宋体" w:hAnsi="宋体" w:eastAsia="宋体" w:cs="宋体"/>
          <w:color w:val="000000"/>
        </w:rPr>
      </w:pPr>
      <w:bookmarkStart w:id="41" w:name="_Toc26100"/>
    </w:p>
    <w:p w14:paraId="745AD11D">
      <w:pPr>
        <w:pStyle w:val="5"/>
        <w:spacing w:before="0" w:beforeAutospacing="0"/>
        <w:ind w:firstLine="562" w:firstLineChars="200"/>
        <w:outlineLvl w:val="9"/>
        <w:rPr>
          <w:rFonts w:hint="eastAsia" w:ascii="宋体" w:hAnsi="宋体" w:eastAsia="宋体" w:cs="宋体"/>
          <w:color w:val="000000"/>
        </w:rPr>
      </w:pPr>
      <w:r>
        <w:rPr>
          <w:rFonts w:hint="eastAsia" w:ascii="宋体" w:hAnsi="宋体" w:eastAsia="宋体" w:cs="宋体"/>
          <w:color w:val="000000"/>
        </w:rPr>
        <w:t>一、比选费用</w:t>
      </w:r>
      <w:bookmarkEnd w:id="41"/>
    </w:p>
    <w:p w14:paraId="5D6FE8A9">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参与比选的供应商应承担其编制响应文件与递交响应文件所涉及的一切费用，不论比选结果如何，</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在任何情况下无义务也无责任承担这些费用。</w:t>
      </w:r>
    </w:p>
    <w:p w14:paraId="002B7CBC">
      <w:pPr>
        <w:ind w:firstLine="562" w:firstLineChars="200"/>
        <w:jc w:val="both"/>
        <w:outlineLvl w:val="9"/>
        <w:rPr>
          <w:rFonts w:hint="eastAsia" w:ascii="宋体" w:hAnsi="宋体" w:eastAsia="宋体" w:cs="宋体"/>
          <w:color w:val="000000"/>
          <w:sz w:val="24"/>
          <w:szCs w:val="24"/>
        </w:rPr>
      </w:pPr>
      <w:bookmarkStart w:id="42" w:name="_Toc11820"/>
      <w:bookmarkStart w:id="43" w:name="_Toc19193"/>
      <w:r>
        <w:rPr>
          <w:rStyle w:val="68"/>
          <w:rFonts w:hint="eastAsia" w:ascii="宋体" w:hAnsi="宋体" w:eastAsia="宋体" w:cs="宋体"/>
          <w:color w:val="000000"/>
        </w:rPr>
        <w:t>二、比选文件</w:t>
      </w:r>
      <w:bookmarkEnd w:id="42"/>
      <w:bookmarkEnd w:id="43"/>
      <w:r>
        <w:rPr>
          <w:rFonts w:hint="eastAsia" w:ascii="宋体" w:hAnsi="宋体" w:eastAsia="宋体" w:cs="宋体"/>
          <w:color w:val="000000"/>
          <w:sz w:val="24"/>
          <w:szCs w:val="24"/>
        </w:rPr>
        <w:tab/>
      </w:r>
    </w:p>
    <w:p w14:paraId="47280978">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（一）比选文件由比选邀请书、供应商须知、比选项目技术需求、比选项目服务需求、合同草案条款、响应文件格式要求六部分组成。</w:t>
      </w:r>
    </w:p>
    <w:p w14:paraId="4B467172">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（二）</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所作的一切有效的修改及补充，都是比选文件不可分割的部分。</w:t>
      </w:r>
    </w:p>
    <w:p w14:paraId="76A23ACF">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（三）比选文件的解释</w:t>
      </w:r>
    </w:p>
    <w:p w14:paraId="4F677A5A">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00459DE4">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（四）本比选文件中，评审小组根据与供应商比选情况可能实质性变动的内容为比选文件第三、四、五篇全部内容。</w:t>
      </w:r>
    </w:p>
    <w:p w14:paraId="783E1468">
      <w:pPr>
        <w:pStyle w:val="5"/>
        <w:spacing w:before="0" w:beforeAutospacing="0"/>
        <w:outlineLvl w:val="9"/>
        <w:rPr>
          <w:rFonts w:hint="eastAsia" w:ascii="宋体" w:hAnsi="宋体" w:eastAsia="宋体" w:cs="宋体"/>
          <w:color w:val="000000"/>
        </w:rPr>
      </w:pPr>
      <w:bookmarkStart w:id="44" w:name="_Toc5994"/>
      <w:r>
        <w:rPr>
          <w:rFonts w:hint="eastAsia" w:ascii="宋体" w:hAnsi="宋体" w:eastAsia="宋体" w:cs="宋体"/>
          <w:color w:val="000000"/>
        </w:rPr>
        <w:t>三、比选要求</w:t>
      </w:r>
      <w:bookmarkEnd w:id="44"/>
    </w:p>
    <w:p w14:paraId="127EAEA1">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（一）响应文件</w:t>
      </w:r>
    </w:p>
    <w:p w14:paraId="28B08D19">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供应商应当按照比选文件的要求编制响应文件，并对比选文件提出的要求和条件作出实质性响应，响应文件原则上采用软面订本，同时应编制完整的页码、目录。</w:t>
      </w:r>
    </w:p>
    <w:p w14:paraId="7D716D47">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1、响应文件组成</w:t>
      </w:r>
    </w:p>
    <w:p w14:paraId="21E8B570">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4A9687BC">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2、本项目不接受联合体参与及合同分包、转包。</w:t>
      </w:r>
    </w:p>
    <w:p w14:paraId="18B99B5F">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3、比选有效期：响应文件及有关承诺文件有效期为比选开始时间起90天。</w:t>
      </w:r>
    </w:p>
    <w:p w14:paraId="4F498918">
      <w:pPr>
        <w:spacing w:line="380" w:lineRule="exact"/>
        <w:ind w:firstLine="480" w:firstLineChars="2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（二）报价要求：</w:t>
      </w:r>
    </w:p>
    <w:p w14:paraId="692F2908">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本次报价须为人民币报价，</w:t>
      </w:r>
      <w:r>
        <w:rPr>
          <w:rFonts w:hint="eastAsia" w:ascii="宋体" w:hAnsi="宋体" w:eastAsia="宋体" w:cs="宋体"/>
          <w:color w:val="000000"/>
          <w:sz w:val="24"/>
          <w:szCs w:val="24"/>
          <w:lang w:eastAsia="zh-CN"/>
        </w:rPr>
        <w:t>且为包干价，</w:t>
      </w:r>
      <w:r>
        <w:rPr>
          <w:rFonts w:hint="eastAsia" w:ascii="宋体" w:hAnsi="宋体" w:eastAsia="宋体" w:cs="宋体"/>
          <w:color w:val="000000"/>
          <w:sz w:val="24"/>
          <w:szCs w:val="24"/>
        </w:rPr>
        <w:t>包含：完成本项目所需的服务费、人工费及提供服务所需的设备或货物购买（制造）费、辅材费、运输费、装卸费、安装调试费、培训费及各种应纳的税费等完成本项目的所有费用。因</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rPr>
        <w:t>自身原因造成漏报、少报皆由其自行承担责任，采购人不再补偿。</w:t>
      </w:r>
      <w:r>
        <w:rPr>
          <w:rFonts w:hint="eastAsia" w:ascii="宋体" w:hAnsi="宋体" w:eastAsia="宋体" w:cs="宋体"/>
          <w:color w:val="FF0000"/>
          <w:sz w:val="24"/>
          <w:szCs w:val="24"/>
          <w:lang w:eastAsia="zh-CN"/>
        </w:rPr>
        <w:t>（报价表见第六章）</w:t>
      </w:r>
    </w:p>
    <w:p w14:paraId="68568A37">
      <w:pPr>
        <w:spacing w:line="380" w:lineRule="exact"/>
        <w:ind w:firstLine="480" w:firstLineChars="200"/>
        <w:jc w:val="both"/>
        <w:rPr>
          <w:rFonts w:hint="eastAsia" w:ascii="宋体" w:hAnsi="宋体" w:eastAsia="宋体" w:cs="宋体"/>
          <w:color w:val="FF0000"/>
          <w:sz w:val="24"/>
          <w:szCs w:val="24"/>
          <w:lang w:eastAsia="zh-CN"/>
        </w:rPr>
      </w:pPr>
      <w:r>
        <w:rPr>
          <w:rFonts w:hint="eastAsia" w:ascii="宋体" w:hAnsi="宋体" w:eastAsia="宋体" w:cs="宋体"/>
          <w:color w:val="000000"/>
          <w:sz w:val="24"/>
          <w:szCs w:val="24"/>
          <w:lang w:val="en-US" w:eastAsia="zh-CN"/>
        </w:rPr>
        <w:t>2.机房常用硬件及耗材报价要求：</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lang w:val="en-US" w:eastAsia="zh-CN"/>
        </w:rPr>
        <w:t>须对信息机房常用设备及耗材（包含但不限于下表中列明的品目）进行报价，内容须包含品名、品牌、规格型号、单价等信息；合同服务期内，采购人如有相关需求，可直接按成交供应商在比选文件中提交的最终价格由</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lang w:val="en-US" w:eastAsia="zh-CN"/>
        </w:rPr>
        <w:t>供货安装，无需另行询价。注：本报价表自2026年12月5日起执行，耗材费用不计入本次采购预算总额。</w:t>
      </w:r>
      <w:r>
        <w:rPr>
          <w:rFonts w:hint="eastAsia" w:ascii="宋体" w:hAnsi="宋体" w:eastAsia="宋体" w:cs="宋体"/>
          <w:color w:val="FF0000"/>
          <w:sz w:val="24"/>
          <w:szCs w:val="24"/>
          <w:lang w:eastAsia="zh-CN"/>
        </w:rPr>
        <w:t>（报价表见第六章）</w:t>
      </w:r>
    </w:p>
    <w:p w14:paraId="4AB3D4C8">
      <w:pPr>
        <w:spacing w:line="38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（三）修正错误</w:t>
      </w:r>
    </w:p>
    <w:p w14:paraId="55E7DB5A">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1.若供应商所递交的响应文件或最后报价中的价格出现大写金额和小写金额不一致的错误，以大写金额修正为准。</w:t>
      </w:r>
    </w:p>
    <w:p w14:paraId="48DD13DF">
      <w:pPr>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2.评审小组按上述修正错误的原则及方法修正供应商的报价，供应商同意并签字确认后，修正后的报价对供应商具有约束作用。如果供应商不接受修正后的价格，将失去成为成交供应商的资格。</w:t>
      </w:r>
    </w:p>
    <w:p w14:paraId="5CAFE00E">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（四）提交响应文件的份数和签署</w:t>
      </w:r>
    </w:p>
    <w:p w14:paraId="0417412C">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1.响应文件一式四份，其中正本一份，副本三份；副本可为正本的复印件，应与正本一致，如出现不一致情况以正本为准。</w:t>
      </w:r>
    </w:p>
    <w:p w14:paraId="7302FB2C">
      <w:pPr>
        <w:snapToGrid w:val="0"/>
        <w:spacing w:line="400" w:lineRule="exact"/>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szCs w:val="24"/>
        </w:rPr>
        <w:t>2.</w:t>
      </w:r>
      <w:r>
        <w:rPr>
          <w:rFonts w:hint="eastAsia" w:ascii="宋体" w:hAnsi="宋体" w:eastAsia="宋体" w:cs="宋体"/>
          <w:color w:val="000000"/>
          <w:sz w:val="24"/>
        </w:rPr>
        <w:t>在响应文件正本中，比选文件第六篇响应文件格式中规定签字、盖章的地方必须按其规定签字、盖章。</w:t>
      </w:r>
    </w:p>
    <w:p w14:paraId="0257ACF5">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3.若供应商对响应文件的错处作必要修改，则应在修改处加盖供应商公章或由法定代表人或法定代表人授权代表签字确认。</w:t>
      </w:r>
    </w:p>
    <w:p w14:paraId="589EA750">
      <w:pPr>
        <w:snapToGrid w:val="0"/>
        <w:spacing w:line="400" w:lineRule="exact"/>
        <w:ind w:firstLine="480" w:firstLineChars="200"/>
        <w:rPr>
          <w:rFonts w:hint="eastAsia" w:ascii="宋体" w:hAnsi="宋体" w:eastAsia="宋体" w:cs="宋体"/>
          <w:strike/>
          <w:color w:val="000000"/>
          <w:sz w:val="24"/>
          <w:szCs w:val="24"/>
        </w:rPr>
      </w:pPr>
      <w:r>
        <w:rPr>
          <w:rFonts w:hint="eastAsia" w:ascii="宋体" w:hAnsi="宋体" w:eastAsia="宋体" w:cs="宋体"/>
          <w:color w:val="000000"/>
          <w:sz w:val="24"/>
          <w:szCs w:val="24"/>
        </w:rPr>
        <w:t>4. 邮寄、电报、电话、传真形式的响应文件概不接受。</w:t>
      </w:r>
    </w:p>
    <w:p w14:paraId="47D75A01">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（五）响应文件的递交</w:t>
      </w:r>
    </w:p>
    <w:p w14:paraId="70BF0A7A">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1.响应文件的密封与标记</w:t>
      </w:r>
    </w:p>
    <w:p w14:paraId="52198E2A">
      <w:pPr>
        <w:spacing w:line="400" w:lineRule="exact"/>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140E05FF">
      <w:pPr>
        <w:snapToGrid w:val="0"/>
        <w:spacing w:line="400" w:lineRule="exact"/>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2.响应文件投递截止时间：参阅比选邀请书。</w:t>
      </w:r>
    </w:p>
    <w:p w14:paraId="4B4A573D">
      <w:pPr>
        <w:spacing w:line="400" w:lineRule="exact"/>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3.如果未按上述规定进行密封和标记，</w:t>
      </w:r>
      <w:r>
        <w:rPr>
          <w:rFonts w:hint="eastAsia" w:ascii="宋体" w:hAnsi="宋体" w:eastAsia="宋体" w:cs="宋体"/>
          <w:color w:val="000000"/>
          <w:sz w:val="24"/>
          <w:lang w:eastAsia="zh-CN"/>
        </w:rPr>
        <w:t>医院</w:t>
      </w:r>
      <w:r>
        <w:rPr>
          <w:rFonts w:hint="eastAsia" w:ascii="宋体" w:hAnsi="宋体" w:eastAsia="宋体" w:cs="宋体"/>
          <w:color w:val="000000"/>
          <w:sz w:val="24"/>
        </w:rPr>
        <w:t>对响应文件误投、丢失或提前拆封不负责任。</w:t>
      </w:r>
    </w:p>
    <w:p w14:paraId="08FDF137">
      <w:pPr>
        <w:spacing w:line="400" w:lineRule="exact"/>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4、如果响应文件通过邮寄或快递递交，供应商应将响应文件用内、外两层封套密封。</w:t>
      </w:r>
    </w:p>
    <w:p w14:paraId="7D88192D">
      <w:pPr>
        <w:spacing w:line="400" w:lineRule="exact"/>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（六）响应文件语言：简体中文</w:t>
      </w:r>
    </w:p>
    <w:p w14:paraId="2B75A012">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（七）供应商参与人员</w:t>
      </w:r>
    </w:p>
    <w:p w14:paraId="2F5A2747">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各个供应商可派1-2名代表参与比选，至少1人应为法定代表人或具有法定代表人授权委托书的授权代表。</w:t>
      </w:r>
      <w:r>
        <w:rPr>
          <w:rFonts w:hint="eastAsia" w:ascii="宋体" w:hAnsi="宋体" w:eastAsia="宋体" w:cs="宋体"/>
          <w:b/>
          <w:bCs/>
          <w:color w:val="000000"/>
          <w:sz w:val="24"/>
          <w:szCs w:val="22"/>
        </w:rPr>
        <w:t>法定代表人或授权代表应随身携带本人身份证原件。</w:t>
      </w:r>
    </w:p>
    <w:p w14:paraId="37A4EF98">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（八）无效比选</w:t>
      </w:r>
    </w:p>
    <w:p w14:paraId="7DD4B5C6">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供应商发生以下条款情况之一者，视为无效比选，应为无效响应：</w:t>
      </w:r>
    </w:p>
    <w:p w14:paraId="3D4E6CE0">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1.不符合规定的基本资格条件或特定资格条件；</w:t>
      </w:r>
    </w:p>
    <w:p w14:paraId="493FD494">
      <w:pPr>
        <w:snapToGrid w:val="0"/>
        <w:spacing w:line="400" w:lineRule="exact"/>
        <w:jc w:val="both"/>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2.法定代表人或其授权代表未参加比选；</w:t>
      </w:r>
    </w:p>
    <w:p w14:paraId="75B12AEF">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3.响应文件不按规定签字、盖章；</w:t>
      </w:r>
    </w:p>
    <w:p w14:paraId="6AC79DE0">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.供应商响应文件内容有与国家现行法律法规相违背的内容，或附有采购人无法接受的条件。</w:t>
      </w:r>
    </w:p>
    <w:p w14:paraId="29A54DEA">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、单位负责人为同一人或者存在直接控股、管理关系的不同供应商，参加同一合同项下政府采购活动的；</w:t>
      </w:r>
    </w:p>
    <w:p w14:paraId="608E6CAD">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、为采购项目提供整体设计、规范编制或者项目管理、监理、检测等服务的供应商再参加该采购项目的其他采购活动的；</w:t>
      </w:r>
    </w:p>
    <w:p w14:paraId="1BEC1BB0">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、同一合同项下的货物，制造商参与比选的，再委托代理商参与比选的；</w:t>
      </w:r>
    </w:p>
    <w:p w14:paraId="1FC584CB">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、供应商以联合体形式参与比选的；</w:t>
      </w:r>
    </w:p>
    <w:p w14:paraId="63720B28">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供应商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14:paraId="598A2E2A">
      <w:pPr>
        <w:pStyle w:val="5"/>
        <w:spacing w:before="0" w:beforeAutospacing="0"/>
        <w:ind w:firstLine="562" w:firstLineChars="200"/>
        <w:outlineLvl w:val="9"/>
        <w:rPr>
          <w:rFonts w:hint="eastAsia" w:ascii="宋体" w:hAnsi="宋体" w:eastAsia="宋体" w:cs="宋体"/>
          <w:color w:val="000000"/>
        </w:rPr>
      </w:pPr>
      <w:bookmarkStart w:id="45" w:name="_Toc403569780"/>
      <w:bookmarkStart w:id="46" w:name="_Toc10894"/>
      <w:bookmarkStart w:id="47" w:name="_Toc31461"/>
      <w:bookmarkStart w:id="48" w:name="_Toc18122"/>
      <w:r>
        <w:rPr>
          <w:rFonts w:hint="eastAsia" w:ascii="宋体" w:hAnsi="宋体" w:eastAsia="宋体" w:cs="宋体"/>
          <w:color w:val="000000"/>
        </w:rPr>
        <w:t>四、比选程序</w:t>
      </w:r>
      <w:bookmarkEnd w:id="45"/>
      <w:bookmarkEnd w:id="46"/>
      <w:bookmarkEnd w:id="47"/>
      <w:bookmarkEnd w:id="48"/>
    </w:p>
    <w:p w14:paraId="4E0A278A">
      <w:pPr>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（一）比选按比选文件规定的时间和地点进行。供应商须有法定代表人或其授权代表参加并签到。</w:t>
      </w:r>
    </w:p>
    <w:p w14:paraId="074FADBF">
      <w:pPr>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52F608C8">
      <w:pPr>
        <w:spacing w:line="380" w:lineRule="exact"/>
        <w:ind w:firstLine="480" w:firstLineChars="200"/>
        <w:jc w:val="both"/>
        <w:rPr>
          <w:rFonts w:hint="eastAsia" w:ascii="宋体" w:hAnsi="宋体" w:eastAsia="宋体" w:cs="宋体"/>
          <w:color w:val="000000"/>
          <w:sz w:val="24"/>
          <w:szCs w:val="24"/>
        </w:rPr>
      </w:pPr>
      <w:bookmarkStart w:id="49" w:name="_Toc65660340"/>
      <w:r>
        <w:rPr>
          <w:rFonts w:hint="eastAsia" w:ascii="宋体" w:hAnsi="宋体" w:eastAsia="宋体" w:cs="宋体"/>
          <w:color w:val="000000"/>
          <w:sz w:val="24"/>
          <w:szCs w:val="24"/>
        </w:rPr>
        <w:t>1、资格性检查。依据法律法规和竞争性比选文件的规定，评审小组对响应文件中的资格证明、保证金等进行审查，以确定供应商是否具备比选资格。资格性检查资料表如下：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BEE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noWrap w:val="0"/>
            <w:vAlign w:val="center"/>
          </w:tcPr>
          <w:p w14:paraId="0762342A">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3885" w:type="dxa"/>
            <w:gridSpan w:val="2"/>
            <w:noWrap w:val="0"/>
            <w:vAlign w:val="center"/>
          </w:tcPr>
          <w:p w14:paraId="4C2A6E0F">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检查因素</w:t>
            </w:r>
          </w:p>
        </w:tc>
        <w:tc>
          <w:tcPr>
            <w:tcW w:w="4948" w:type="dxa"/>
            <w:noWrap w:val="0"/>
            <w:vAlign w:val="center"/>
          </w:tcPr>
          <w:p w14:paraId="615E238A">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检查内容</w:t>
            </w:r>
          </w:p>
        </w:tc>
      </w:tr>
      <w:tr w14:paraId="671B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noWrap w:val="0"/>
            <w:vAlign w:val="center"/>
          </w:tcPr>
          <w:p w14:paraId="4246A2BB">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1060" w:type="dxa"/>
            <w:vMerge w:val="restart"/>
            <w:noWrap w:val="0"/>
            <w:vAlign w:val="center"/>
          </w:tcPr>
          <w:p w14:paraId="02B95846">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响应人应符合的基本资格条件</w:t>
            </w:r>
          </w:p>
        </w:tc>
        <w:tc>
          <w:tcPr>
            <w:tcW w:w="2825" w:type="dxa"/>
            <w:noWrap w:val="0"/>
            <w:vAlign w:val="center"/>
          </w:tcPr>
          <w:p w14:paraId="3E7BB161">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r>
              <w:rPr>
                <w:rFonts w:hint="eastAsia" w:ascii="宋体" w:hAnsi="宋体" w:eastAsia="宋体" w:cs="宋体"/>
                <w:color w:val="000000"/>
                <w:sz w:val="21"/>
                <w:szCs w:val="21"/>
              </w:rPr>
              <w:t>（1）具有独立承担民事责任的能力</w:t>
            </w:r>
          </w:p>
        </w:tc>
        <w:tc>
          <w:tcPr>
            <w:tcW w:w="4948" w:type="dxa"/>
            <w:noWrap w:val="0"/>
            <w:vAlign w:val="center"/>
          </w:tcPr>
          <w:p w14:paraId="6DA21AA4">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rPr>
              <w:t>供应商法人营业执照（副本）或事业单位法人证书（副本）或个体工商户营业执照或有效的自然人身份证明、组织机构代码证复印件； 供应商法定代表人身份证明和法定代表人授权代表委托书。</w:t>
            </w:r>
          </w:p>
        </w:tc>
      </w:tr>
      <w:tr w14:paraId="4EE2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noWrap w:val="0"/>
            <w:vAlign w:val="center"/>
          </w:tcPr>
          <w:p w14:paraId="5C9D2AF5">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060" w:type="dxa"/>
            <w:vMerge w:val="continue"/>
            <w:noWrap w:val="0"/>
            <w:vAlign w:val="center"/>
          </w:tcPr>
          <w:p w14:paraId="45E68452">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lang w:val="zh-CN"/>
              </w:rPr>
            </w:pPr>
          </w:p>
        </w:tc>
        <w:tc>
          <w:tcPr>
            <w:tcW w:w="2825" w:type="dxa"/>
            <w:noWrap w:val="0"/>
            <w:vAlign w:val="center"/>
          </w:tcPr>
          <w:p w14:paraId="27421E3C">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r>
              <w:rPr>
                <w:rFonts w:hint="eastAsia" w:ascii="宋体" w:hAnsi="宋体" w:eastAsia="宋体" w:cs="宋体"/>
                <w:color w:val="000000"/>
                <w:sz w:val="21"/>
                <w:szCs w:val="21"/>
                <w:lang w:val="zh-CN"/>
              </w:rPr>
              <w:t>（2）</w:t>
            </w:r>
            <w:r>
              <w:rPr>
                <w:rFonts w:hint="eastAsia" w:ascii="宋体" w:hAnsi="宋体" w:eastAsia="宋体" w:cs="宋体"/>
                <w:color w:val="000000"/>
                <w:sz w:val="21"/>
                <w:szCs w:val="21"/>
              </w:rPr>
              <w:t>具有良好的商业信誉和健全的财务会计制度</w:t>
            </w:r>
          </w:p>
        </w:tc>
        <w:tc>
          <w:tcPr>
            <w:tcW w:w="4948" w:type="dxa"/>
            <w:vMerge w:val="restart"/>
            <w:noWrap w:val="0"/>
            <w:vAlign w:val="center"/>
          </w:tcPr>
          <w:p w14:paraId="27080009">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r>
              <w:rPr>
                <w:rFonts w:hint="eastAsia" w:ascii="宋体" w:hAnsi="宋体" w:eastAsia="宋体" w:cs="宋体"/>
                <w:color w:val="000000"/>
                <w:sz w:val="21"/>
                <w:szCs w:val="21"/>
                <w:lang w:val="zh-CN" w:eastAsia="zh-CN"/>
              </w:rPr>
              <w:t>响应人提供“基本资格条件承诺函”（格式详见第六篇）</w:t>
            </w:r>
          </w:p>
        </w:tc>
      </w:tr>
      <w:tr w14:paraId="39B3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noWrap w:val="0"/>
            <w:vAlign w:val="center"/>
          </w:tcPr>
          <w:p w14:paraId="09A01C60">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060" w:type="dxa"/>
            <w:vMerge w:val="continue"/>
            <w:noWrap w:val="0"/>
            <w:vAlign w:val="center"/>
          </w:tcPr>
          <w:p w14:paraId="3668DCCF">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lang w:val="zh-CN"/>
              </w:rPr>
            </w:pPr>
          </w:p>
        </w:tc>
        <w:tc>
          <w:tcPr>
            <w:tcW w:w="2825" w:type="dxa"/>
            <w:noWrap w:val="0"/>
            <w:vAlign w:val="center"/>
          </w:tcPr>
          <w:p w14:paraId="1BFDA1D3">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（3）具有履行合同所必需的设备和专业技术能力</w:t>
            </w:r>
          </w:p>
        </w:tc>
        <w:tc>
          <w:tcPr>
            <w:tcW w:w="4948" w:type="dxa"/>
            <w:vMerge w:val="continue"/>
            <w:noWrap w:val="0"/>
            <w:vAlign w:val="center"/>
          </w:tcPr>
          <w:p w14:paraId="58E9F7C6">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p>
        </w:tc>
      </w:tr>
      <w:tr w14:paraId="06FA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noWrap w:val="0"/>
            <w:vAlign w:val="center"/>
          </w:tcPr>
          <w:p w14:paraId="6F8B16B2">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060" w:type="dxa"/>
            <w:vMerge w:val="continue"/>
            <w:noWrap w:val="0"/>
            <w:vAlign w:val="center"/>
          </w:tcPr>
          <w:p w14:paraId="0B9BF6AE">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lang w:val="zh-CN"/>
              </w:rPr>
            </w:pPr>
          </w:p>
        </w:tc>
        <w:tc>
          <w:tcPr>
            <w:tcW w:w="2825" w:type="dxa"/>
            <w:noWrap w:val="0"/>
            <w:vAlign w:val="center"/>
          </w:tcPr>
          <w:p w14:paraId="6FD96961">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（4）有依法缴纳税收和社会保障金的良好记录</w:t>
            </w:r>
          </w:p>
        </w:tc>
        <w:tc>
          <w:tcPr>
            <w:tcW w:w="4948" w:type="dxa"/>
            <w:vMerge w:val="continue"/>
            <w:noWrap w:val="0"/>
            <w:vAlign w:val="center"/>
          </w:tcPr>
          <w:p w14:paraId="75DE5EAE">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p>
        </w:tc>
      </w:tr>
      <w:tr w14:paraId="2F63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noWrap w:val="0"/>
            <w:vAlign w:val="center"/>
          </w:tcPr>
          <w:p w14:paraId="3927C043">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060" w:type="dxa"/>
            <w:vMerge w:val="continue"/>
            <w:noWrap w:val="0"/>
            <w:vAlign w:val="center"/>
          </w:tcPr>
          <w:p w14:paraId="631402D7">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lang w:val="zh-CN"/>
              </w:rPr>
            </w:pPr>
          </w:p>
        </w:tc>
        <w:tc>
          <w:tcPr>
            <w:tcW w:w="2825" w:type="dxa"/>
            <w:noWrap w:val="0"/>
            <w:vAlign w:val="center"/>
          </w:tcPr>
          <w:p w14:paraId="6CFBAB67">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lang w:val="zh-CN"/>
              </w:rPr>
            </w:pPr>
            <w:r>
              <w:rPr>
                <w:rFonts w:hint="eastAsia" w:ascii="宋体" w:hAnsi="宋体" w:eastAsia="宋体" w:cs="宋体"/>
                <w:color w:val="000000"/>
                <w:sz w:val="21"/>
                <w:szCs w:val="21"/>
              </w:rPr>
              <w:t>（5）参加采购活动前三年内，在经营活动中没有重大违法记录（注①）</w:t>
            </w:r>
          </w:p>
        </w:tc>
        <w:tc>
          <w:tcPr>
            <w:tcW w:w="4948" w:type="dxa"/>
            <w:vMerge w:val="continue"/>
            <w:noWrap w:val="0"/>
            <w:vAlign w:val="center"/>
          </w:tcPr>
          <w:p w14:paraId="0472BC8F">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p>
        </w:tc>
      </w:tr>
      <w:tr w14:paraId="65A0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noWrap w:val="0"/>
            <w:vAlign w:val="center"/>
          </w:tcPr>
          <w:p w14:paraId="439F67DE">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060" w:type="dxa"/>
            <w:vMerge w:val="continue"/>
            <w:noWrap w:val="0"/>
            <w:vAlign w:val="center"/>
          </w:tcPr>
          <w:p w14:paraId="4FADD810">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rPr>
            </w:pPr>
          </w:p>
        </w:tc>
        <w:tc>
          <w:tcPr>
            <w:tcW w:w="2825" w:type="dxa"/>
            <w:noWrap w:val="0"/>
            <w:vAlign w:val="center"/>
          </w:tcPr>
          <w:p w14:paraId="090D27BF">
            <w:pPr>
              <w:keepNext w:val="0"/>
              <w:keepLines w:val="0"/>
              <w:suppressLineNumbers w:val="0"/>
              <w:snapToGrid w:val="0"/>
              <w:spacing w:before="0" w:beforeAutospacing="0" w:after="0" w:afterAutospacing="0" w:line="400" w:lineRule="exact"/>
              <w:ind w:left="0" w:right="0"/>
              <w:jc w:val="both"/>
              <w:rPr>
                <w:rFonts w:hint="eastAsia" w:ascii="宋体" w:hAnsi="宋体" w:eastAsia="宋体" w:cs="宋体"/>
                <w:color w:val="000000"/>
                <w:sz w:val="21"/>
                <w:szCs w:val="21"/>
              </w:rPr>
            </w:pPr>
            <w:r>
              <w:rPr>
                <w:rFonts w:hint="eastAsia" w:ascii="宋体" w:hAnsi="宋体" w:eastAsia="宋体" w:cs="宋体"/>
                <w:color w:val="000000"/>
                <w:sz w:val="21"/>
                <w:szCs w:val="21"/>
              </w:rPr>
              <w:t>（6）法律、行政法规规定的其他条件</w:t>
            </w:r>
          </w:p>
        </w:tc>
        <w:tc>
          <w:tcPr>
            <w:tcW w:w="4948" w:type="dxa"/>
            <w:vMerge w:val="continue"/>
            <w:noWrap w:val="0"/>
            <w:vAlign w:val="center"/>
          </w:tcPr>
          <w:p w14:paraId="639B6133">
            <w:pPr>
              <w:keepNext w:val="0"/>
              <w:keepLines w:val="0"/>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sz w:val="21"/>
                <w:szCs w:val="21"/>
              </w:rPr>
            </w:pPr>
          </w:p>
        </w:tc>
      </w:tr>
      <w:tr w14:paraId="5A38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noWrap w:val="0"/>
            <w:vAlign w:val="center"/>
          </w:tcPr>
          <w:p w14:paraId="54D85ED4">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3885" w:type="dxa"/>
            <w:gridSpan w:val="2"/>
            <w:noWrap w:val="0"/>
            <w:vAlign w:val="center"/>
          </w:tcPr>
          <w:p w14:paraId="518B4B19">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特定资格条件</w:t>
            </w:r>
          </w:p>
        </w:tc>
        <w:tc>
          <w:tcPr>
            <w:tcW w:w="4948" w:type="dxa"/>
            <w:noWrap w:val="0"/>
            <w:vAlign w:val="center"/>
          </w:tcPr>
          <w:p w14:paraId="788B1115">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按“第一篇三、</w:t>
            </w:r>
            <w:r>
              <w:rPr>
                <w:rFonts w:hint="eastAsia" w:ascii="宋体" w:hAnsi="宋体" w:eastAsia="宋体" w:cs="宋体"/>
                <w:color w:val="000000"/>
                <w:sz w:val="24"/>
                <w:szCs w:val="24"/>
              </w:rPr>
              <w:t>供应商资格要求</w:t>
            </w:r>
            <w:r>
              <w:rPr>
                <w:rFonts w:hint="eastAsia" w:ascii="宋体" w:hAnsi="宋体" w:eastAsia="宋体" w:cs="宋体"/>
                <w:color w:val="000000"/>
                <w:sz w:val="21"/>
                <w:szCs w:val="21"/>
              </w:rPr>
              <w:t>（二）</w:t>
            </w:r>
            <w:r>
              <w:rPr>
                <w:rFonts w:hint="eastAsia" w:ascii="宋体" w:hAnsi="宋体" w:eastAsia="宋体" w:cs="宋体"/>
                <w:color w:val="000000"/>
                <w:sz w:val="24"/>
                <w:szCs w:val="24"/>
              </w:rPr>
              <w:t>特定资格要求</w:t>
            </w:r>
            <w:r>
              <w:rPr>
                <w:rFonts w:hint="eastAsia" w:ascii="宋体" w:hAnsi="宋体" w:eastAsia="宋体" w:cs="宋体"/>
                <w:color w:val="000000"/>
                <w:sz w:val="21"/>
                <w:szCs w:val="21"/>
              </w:rPr>
              <w:t>的要求提交（如果有）。</w:t>
            </w:r>
          </w:p>
        </w:tc>
      </w:tr>
    </w:tbl>
    <w:p w14:paraId="3B270F2F">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4CA87789">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供应商按“多证合一”登记制度办理营业执照的，税务登记证（副本）和社会保险登记证以供应商所提供的营业执照（副本）复印件为准。</w:t>
      </w:r>
    </w:p>
    <w:p w14:paraId="41ABC2A3">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05B4875F">
      <w:pPr>
        <w:spacing w:line="39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②供应商应提供以下四张截图：信用中国--行政处罚；信用中国--失信惩戒；信用中国--重大税收违法案件当事人名单查询；中国政府采购网--政府采购严重违法失信行为信息    </w:t>
      </w:r>
    </w:p>
    <w:p w14:paraId="08B239A5">
      <w:pPr>
        <w:spacing w:line="39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2、符合性审查。依据比选文件的规定，评审小组从响应文件的有效性、完整性和对比选文件的响应程度进行审查，以确定是否对比选文件的实质性要求作出响应。符合性检查资料表如下： </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2F7F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noWrap w:val="0"/>
            <w:vAlign w:val="center"/>
          </w:tcPr>
          <w:p w14:paraId="77A3FF7F">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3441" w:type="dxa"/>
            <w:gridSpan w:val="2"/>
            <w:noWrap w:val="0"/>
            <w:vAlign w:val="center"/>
          </w:tcPr>
          <w:p w14:paraId="225458E7">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评审因素</w:t>
            </w:r>
          </w:p>
        </w:tc>
        <w:tc>
          <w:tcPr>
            <w:tcW w:w="5409" w:type="dxa"/>
            <w:noWrap w:val="0"/>
            <w:vAlign w:val="center"/>
          </w:tcPr>
          <w:p w14:paraId="46DA9CB3">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评审标准</w:t>
            </w:r>
          </w:p>
        </w:tc>
      </w:tr>
      <w:tr w14:paraId="4F1D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noWrap w:val="0"/>
            <w:vAlign w:val="center"/>
          </w:tcPr>
          <w:p w14:paraId="7F32A2A9">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1457" w:type="dxa"/>
            <w:vMerge w:val="restart"/>
            <w:noWrap w:val="0"/>
            <w:vAlign w:val="center"/>
          </w:tcPr>
          <w:p w14:paraId="6D59384C">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有效性审查</w:t>
            </w:r>
          </w:p>
        </w:tc>
        <w:tc>
          <w:tcPr>
            <w:tcW w:w="1984" w:type="dxa"/>
            <w:noWrap w:val="0"/>
            <w:vAlign w:val="center"/>
          </w:tcPr>
          <w:p w14:paraId="7C5224DC">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响应文件签署</w:t>
            </w:r>
          </w:p>
        </w:tc>
        <w:tc>
          <w:tcPr>
            <w:tcW w:w="5409" w:type="dxa"/>
            <w:noWrap w:val="0"/>
            <w:vAlign w:val="center"/>
          </w:tcPr>
          <w:p w14:paraId="517A1D93">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w:t>
            </w:r>
            <w:r>
              <w:rPr>
                <w:rFonts w:hint="eastAsia" w:ascii="宋体" w:hAnsi="宋体" w:eastAsia="宋体" w:cs="宋体"/>
                <w:color w:val="000000"/>
                <w:sz w:val="21"/>
                <w:szCs w:val="21"/>
              </w:rPr>
              <w:t>文件上法定代表人或其授权代表人的签字齐全。</w:t>
            </w:r>
          </w:p>
        </w:tc>
      </w:tr>
      <w:tr w14:paraId="1E79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noWrap w:val="0"/>
            <w:vAlign w:val="center"/>
          </w:tcPr>
          <w:p w14:paraId="3DE87E2A">
            <w:pPr>
              <w:keepNext w:val="0"/>
              <w:keepLines w:val="0"/>
              <w:suppressLineNumbers w:val="0"/>
              <w:snapToGrid w:val="0"/>
              <w:spacing w:before="0" w:beforeAutospacing="0" w:after="0" w:afterAutospacing="0" w:line="400" w:lineRule="exact"/>
              <w:ind w:left="0" w:right="0" w:firstLine="420" w:firstLineChars="200"/>
              <w:jc w:val="center"/>
              <w:rPr>
                <w:rFonts w:hint="eastAsia" w:ascii="宋体" w:hAnsi="宋体" w:eastAsia="宋体" w:cs="宋体"/>
                <w:color w:val="000000"/>
                <w:sz w:val="21"/>
                <w:szCs w:val="21"/>
              </w:rPr>
            </w:pPr>
          </w:p>
        </w:tc>
        <w:tc>
          <w:tcPr>
            <w:tcW w:w="1457" w:type="dxa"/>
            <w:vMerge w:val="continue"/>
            <w:noWrap w:val="0"/>
            <w:vAlign w:val="center"/>
          </w:tcPr>
          <w:p w14:paraId="1F0374A3">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984" w:type="dxa"/>
            <w:noWrap w:val="0"/>
            <w:vAlign w:val="center"/>
          </w:tcPr>
          <w:p w14:paraId="4265649F">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lang w:val="zh-CN"/>
              </w:rPr>
            </w:pPr>
            <w:r>
              <w:rPr>
                <w:rFonts w:hint="eastAsia" w:ascii="宋体" w:hAnsi="宋体" w:eastAsia="宋体" w:cs="宋体"/>
                <w:color w:val="000000"/>
                <w:sz w:val="21"/>
                <w:szCs w:val="21"/>
              </w:rPr>
              <w:t>法定代表人身份证明及授权委托书</w:t>
            </w:r>
          </w:p>
        </w:tc>
        <w:tc>
          <w:tcPr>
            <w:tcW w:w="5409" w:type="dxa"/>
            <w:noWrap w:val="0"/>
            <w:vAlign w:val="center"/>
          </w:tcPr>
          <w:p w14:paraId="5545FB77">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lang w:val="zh-CN"/>
              </w:rPr>
            </w:pPr>
            <w:r>
              <w:rPr>
                <w:rFonts w:hint="eastAsia" w:ascii="宋体" w:hAnsi="宋体" w:eastAsia="宋体" w:cs="宋体"/>
                <w:color w:val="000000"/>
                <w:sz w:val="21"/>
                <w:szCs w:val="21"/>
              </w:rPr>
              <w:t>法定代表人身份证明及授权委托书有效，符合比选文件规定的格式，签署或盖章齐全。</w:t>
            </w:r>
          </w:p>
        </w:tc>
      </w:tr>
      <w:tr w14:paraId="71AD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noWrap w:val="0"/>
            <w:vAlign w:val="center"/>
          </w:tcPr>
          <w:p w14:paraId="2BF20786">
            <w:pPr>
              <w:keepNext w:val="0"/>
              <w:keepLines w:val="0"/>
              <w:suppressLineNumbers w:val="0"/>
              <w:snapToGrid w:val="0"/>
              <w:spacing w:before="0" w:beforeAutospacing="0" w:after="0" w:afterAutospacing="0" w:line="400" w:lineRule="exact"/>
              <w:ind w:left="0" w:right="0" w:firstLine="420" w:firstLineChars="200"/>
              <w:jc w:val="center"/>
              <w:rPr>
                <w:rFonts w:hint="eastAsia" w:ascii="宋体" w:hAnsi="宋体" w:eastAsia="宋体" w:cs="宋体"/>
                <w:color w:val="000000"/>
                <w:sz w:val="21"/>
                <w:szCs w:val="21"/>
              </w:rPr>
            </w:pPr>
          </w:p>
        </w:tc>
        <w:tc>
          <w:tcPr>
            <w:tcW w:w="1457" w:type="dxa"/>
            <w:vMerge w:val="continue"/>
            <w:noWrap w:val="0"/>
            <w:vAlign w:val="center"/>
          </w:tcPr>
          <w:p w14:paraId="7E293BA5">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984" w:type="dxa"/>
            <w:noWrap w:val="0"/>
            <w:vAlign w:val="center"/>
          </w:tcPr>
          <w:p w14:paraId="4C0DBF92">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响应方案</w:t>
            </w:r>
          </w:p>
        </w:tc>
        <w:tc>
          <w:tcPr>
            <w:tcW w:w="5409" w:type="dxa"/>
            <w:noWrap w:val="0"/>
            <w:vAlign w:val="center"/>
          </w:tcPr>
          <w:p w14:paraId="79CBA693">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只能有一个方案响应。</w:t>
            </w:r>
          </w:p>
        </w:tc>
      </w:tr>
      <w:tr w14:paraId="7A9F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noWrap w:val="0"/>
            <w:vAlign w:val="center"/>
          </w:tcPr>
          <w:p w14:paraId="39F14A52">
            <w:pPr>
              <w:keepNext w:val="0"/>
              <w:keepLines w:val="0"/>
              <w:suppressLineNumbers w:val="0"/>
              <w:snapToGrid w:val="0"/>
              <w:spacing w:before="0" w:beforeAutospacing="0" w:after="0" w:afterAutospacing="0" w:line="400" w:lineRule="exact"/>
              <w:ind w:left="0" w:right="0" w:firstLine="420" w:firstLineChars="200"/>
              <w:jc w:val="center"/>
              <w:rPr>
                <w:rFonts w:hint="eastAsia" w:ascii="宋体" w:hAnsi="宋体" w:eastAsia="宋体" w:cs="宋体"/>
                <w:color w:val="000000"/>
                <w:sz w:val="21"/>
                <w:szCs w:val="21"/>
              </w:rPr>
            </w:pPr>
          </w:p>
        </w:tc>
        <w:tc>
          <w:tcPr>
            <w:tcW w:w="1457" w:type="dxa"/>
            <w:vMerge w:val="continue"/>
            <w:noWrap w:val="0"/>
            <w:vAlign w:val="center"/>
          </w:tcPr>
          <w:p w14:paraId="1478F348">
            <w:pPr>
              <w:keepNext w:val="0"/>
              <w:keepLines w:val="0"/>
              <w:suppressLineNumbers w:val="0"/>
              <w:snapToGrid w:val="0"/>
              <w:spacing w:before="0" w:beforeAutospacing="0" w:after="0" w:afterAutospacing="0" w:line="400" w:lineRule="exact"/>
              <w:ind w:left="0" w:right="0" w:firstLine="420" w:firstLineChars="200"/>
              <w:rPr>
                <w:rFonts w:hint="eastAsia" w:ascii="宋体" w:hAnsi="宋体" w:eastAsia="宋体" w:cs="宋体"/>
                <w:color w:val="000000"/>
                <w:sz w:val="21"/>
                <w:szCs w:val="21"/>
              </w:rPr>
            </w:pPr>
          </w:p>
        </w:tc>
        <w:tc>
          <w:tcPr>
            <w:tcW w:w="1984" w:type="dxa"/>
            <w:noWrap w:val="0"/>
            <w:vAlign w:val="center"/>
          </w:tcPr>
          <w:p w14:paraId="01E1CC73">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lang w:val="zh-CN"/>
              </w:rPr>
            </w:pPr>
            <w:r>
              <w:rPr>
                <w:rFonts w:hint="eastAsia" w:ascii="宋体" w:hAnsi="宋体" w:eastAsia="宋体" w:cs="宋体"/>
                <w:color w:val="000000"/>
                <w:sz w:val="21"/>
                <w:szCs w:val="21"/>
              </w:rPr>
              <w:t>报价唯一</w:t>
            </w:r>
          </w:p>
        </w:tc>
        <w:tc>
          <w:tcPr>
            <w:tcW w:w="5409" w:type="dxa"/>
            <w:noWrap w:val="0"/>
            <w:vAlign w:val="center"/>
          </w:tcPr>
          <w:p w14:paraId="533CB62B">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只能在预算金额内报价，</w:t>
            </w:r>
            <w:r>
              <w:rPr>
                <w:rFonts w:hint="eastAsia" w:ascii="宋体" w:hAnsi="宋体" w:eastAsia="宋体" w:cs="宋体"/>
                <w:color w:val="000000"/>
                <w:sz w:val="21"/>
                <w:szCs w:val="21"/>
              </w:rPr>
              <w:t>只能有一个有效报价，不得提交选择性报价。</w:t>
            </w:r>
          </w:p>
        </w:tc>
      </w:tr>
      <w:tr w14:paraId="2E63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noWrap w:val="0"/>
            <w:vAlign w:val="center"/>
          </w:tcPr>
          <w:p w14:paraId="4B32F53A">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1457" w:type="dxa"/>
            <w:noWrap w:val="0"/>
            <w:vAlign w:val="center"/>
          </w:tcPr>
          <w:p w14:paraId="769B18DA">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完整性审查</w:t>
            </w:r>
          </w:p>
        </w:tc>
        <w:tc>
          <w:tcPr>
            <w:tcW w:w="1984" w:type="dxa"/>
            <w:noWrap w:val="0"/>
            <w:vAlign w:val="center"/>
          </w:tcPr>
          <w:p w14:paraId="4A733A21">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响应文件份数</w:t>
            </w:r>
          </w:p>
        </w:tc>
        <w:tc>
          <w:tcPr>
            <w:tcW w:w="5409" w:type="dxa"/>
            <w:noWrap w:val="0"/>
            <w:vAlign w:val="center"/>
          </w:tcPr>
          <w:p w14:paraId="4F3D0BD3">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响应文件正、副本数量符合比选文件要求。</w:t>
            </w:r>
          </w:p>
        </w:tc>
      </w:tr>
      <w:tr w14:paraId="2C35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noWrap w:val="0"/>
            <w:vAlign w:val="center"/>
          </w:tcPr>
          <w:p w14:paraId="710243E1">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57" w:type="dxa"/>
            <w:noWrap w:val="0"/>
            <w:vAlign w:val="center"/>
          </w:tcPr>
          <w:p w14:paraId="6B053FD3">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服务部分</w:t>
            </w:r>
          </w:p>
        </w:tc>
        <w:tc>
          <w:tcPr>
            <w:tcW w:w="1984" w:type="dxa"/>
            <w:noWrap w:val="0"/>
            <w:vAlign w:val="center"/>
          </w:tcPr>
          <w:p w14:paraId="46516074">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w:t>
            </w:r>
            <w:r>
              <w:rPr>
                <w:rFonts w:hint="eastAsia" w:ascii="宋体" w:hAnsi="宋体" w:eastAsia="宋体" w:cs="宋体"/>
                <w:color w:val="000000"/>
                <w:sz w:val="21"/>
                <w:szCs w:val="21"/>
              </w:rPr>
              <w:t>文件内容</w:t>
            </w:r>
          </w:p>
        </w:tc>
        <w:tc>
          <w:tcPr>
            <w:tcW w:w="5409" w:type="dxa"/>
            <w:noWrap w:val="0"/>
            <w:vAlign w:val="center"/>
          </w:tcPr>
          <w:p w14:paraId="5E9E6AE1">
            <w:pPr>
              <w:keepNext w:val="0"/>
              <w:keepLines w:val="0"/>
              <w:suppressLineNumbers w:val="0"/>
              <w:snapToGrid w:val="0"/>
              <w:spacing w:before="0" w:beforeAutospacing="0" w:after="0" w:afterAutospacing="0" w:line="400" w:lineRule="exact"/>
              <w:ind w:left="0" w:right="0"/>
              <w:rPr>
                <w:rFonts w:hint="default" w:ascii="宋体" w:hAnsi="宋体" w:eastAsia="宋体" w:cs="宋体"/>
                <w:color w:val="auto"/>
                <w:sz w:val="21"/>
                <w:szCs w:val="20"/>
                <w:highlight w:val="yellow"/>
                <w:lang w:val="en-US" w:eastAsia="zh-CN"/>
              </w:rPr>
            </w:pPr>
            <w:r>
              <w:rPr>
                <w:rFonts w:hint="eastAsia" w:ascii="宋体" w:hAnsi="宋体" w:eastAsia="宋体" w:cs="宋体"/>
                <w:color w:val="auto"/>
                <w:sz w:val="21"/>
                <w:szCs w:val="21"/>
                <w:highlight w:val="yellow"/>
              </w:rPr>
              <w:t>本采购文件第三篇</w:t>
            </w:r>
            <w:r>
              <w:rPr>
                <w:rFonts w:hint="eastAsia" w:ascii="宋体" w:hAnsi="宋体" w:eastAsia="宋体" w:cs="宋体"/>
                <w:color w:val="auto"/>
                <w:sz w:val="21"/>
                <w:szCs w:val="21"/>
                <w:highlight w:val="yellow"/>
                <w:lang w:eastAsia="zh-CN"/>
              </w:rPr>
              <w:t>服务需求</w:t>
            </w:r>
            <w:r>
              <w:rPr>
                <w:rFonts w:hint="eastAsia" w:ascii="宋体" w:hAnsi="宋体" w:cs="宋体"/>
                <w:color w:val="auto"/>
                <w:sz w:val="21"/>
                <w:szCs w:val="21"/>
                <w:highlight w:val="yellow"/>
                <w:lang w:eastAsia="zh-CN"/>
              </w:rPr>
              <w:t>中“</w:t>
            </w:r>
            <w:r>
              <w:rPr>
                <w:rFonts w:hint="eastAsia" w:ascii="宋体" w:hAnsi="宋体" w:cs="宋体"/>
                <w:color w:val="FF0000"/>
                <w:sz w:val="21"/>
                <w:szCs w:val="21"/>
                <w:highlight w:val="yellow"/>
                <w:lang w:eastAsia="zh-CN"/>
              </w:rPr>
              <w:t>※</w:t>
            </w:r>
            <w:r>
              <w:rPr>
                <w:rFonts w:hint="eastAsia" w:ascii="宋体" w:hAnsi="宋体" w:cs="宋体"/>
                <w:color w:val="auto"/>
                <w:sz w:val="21"/>
                <w:szCs w:val="21"/>
                <w:highlight w:val="yellow"/>
                <w:lang w:eastAsia="zh-CN"/>
              </w:rPr>
              <w:t>”</w:t>
            </w:r>
            <w:r>
              <w:rPr>
                <w:rFonts w:hint="eastAsia" w:ascii="宋体" w:hAnsi="宋体" w:eastAsia="宋体" w:cs="宋体"/>
                <w:color w:val="auto"/>
                <w:sz w:val="21"/>
                <w:szCs w:val="21"/>
                <w:highlight w:val="yellow"/>
                <w:lang w:eastAsia="zh-CN"/>
              </w:rPr>
              <w:t>部分</w:t>
            </w:r>
          </w:p>
        </w:tc>
      </w:tr>
      <w:tr w14:paraId="2A54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noWrap w:val="0"/>
            <w:vAlign w:val="center"/>
          </w:tcPr>
          <w:p w14:paraId="7F096E7A">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1457" w:type="dxa"/>
            <w:noWrap w:val="0"/>
            <w:vAlign w:val="center"/>
          </w:tcPr>
          <w:p w14:paraId="5F03DC75">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商务部分</w:t>
            </w:r>
          </w:p>
        </w:tc>
        <w:tc>
          <w:tcPr>
            <w:tcW w:w="1984" w:type="dxa"/>
            <w:noWrap w:val="0"/>
            <w:vAlign w:val="center"/>
          </w:tcPr>
          <w:p w14:paraId="6465DEDB">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w:t>
            </w:r>
            <w:r>
              <w:rPr>
                <w:rFonts w:hint="eastAsia" w:ascii="宋体" w:hAnsi="宋体" w:eastAsia="宋体" w:cs="宋体"/>
                <w:color w:val="000000"/>
                <w:sz w:val="21"/>
                <w:szCs w:val="21"/>
              </w:rPr>
              <w:t>文件内容</w:t>
            </w:r>
          </w:p>
        </w:tc>
        <w:tc>
          <w:tcPr>
            <w:tcW w:w="5409" w:type="dxa"/>
            <w:noWrap w:val="0"/>
            <w:vAlign w:val="center"/>
          </w:tcPr>
          <w:p w14:paraId="4315070F">
            <w:pPr>
              <w:keepNext w:val="0"/>
              <w:keepLines w:val="0"/>
              <w:suppressLineNumbers w:val="0"/>
              <w:snapToGrid w:val="0"/>
              <w:spacing w:before="0" w:beforeAutospacing="0" w:after="0" w:afterAutospacing="0" w:line="400" w:lineRule="exact"/>
              <w:ind w:left="0" w:right="0"/>
              <w:rPr>
                <w:rFonts w:hint="default" w:ascii="宋体" w:hAnsi="宋体" w:eastAsia="宋体" w:cs="宋体"/>
                <w:color w:val="auto"/>
                <w:sz w:val="21"/>
                <w:szCs w:val="20"/>
                <w:highlight w:val="yellow"/>
              </w:rPr>
            </w:pPr>
            <w:r>
              <w:rPr>
                <w:rFonts w:hint="eastAsia" w:ascii="宋体" w:hAnsi="宋体" w:eastAsia="宋体" w:cs="宋体"/>
                <w:color w:val="auto"/>
                <w:sz w:val="21"/>
                <w:szCs w:val="21"/>
                <w:highlight w:val="yellow"/>
              </w:rPr>
              <w:t>本采购文件第四篇</w:t>
            </w:r>
            <w:r>
              <w:rPr>
                <w:rFonts w:hint="eastAsia" w:ascii="宋体" w:hAnsi="宋体" w:eastAsia="宋体" w:cs="宋体"/>
                <w:color w:val="auto"/>
                <w:sz w:val="21"/>
                <w:szCs w:val="21"/>
                <w:highlight w:val="yellow"/>
                <w:lang w:eastAsia="zh-CN"/>
              </w:rPr>
              <w:t>商务需求</w:t>
            </w:r>
            <w:r>
              <w:rPr>
                <w:rFonts w:hint="eastAsia" w:ascii="宋体" w:hAnsi="宋体" w:cs="宋体"/>
                <w:color w:val="auto"/>
                <w:sz w:val="21"/>
                <w:szCs w:val="21"/>
                <w:highlight w:val="yellow"/>
                <w:lang w:eastAsia="zh-CN"/>
              </w:rPr>
              <w:t>中“</w:t>
            </w:r>
            <w:r>
              <w:rPr>
                <w:rFonts w:hint="eastAsia" w:ascii="宋体" w:hAnsi="宋体" w:cs="宋体"/>
                <w:color w:val="FF0000"/>
                <w:sz w:val="21"/>
                <w:szCs w:val="21"/>
                <w:highlight w:val="yellow"/>
                <w:lang w:eastAsia="zh-CN"/>
              </w:rPr>
              <w:t>※</w:t>
            </w:r>
            <w:r>
              <w:rPr>
                <w:rFonts w:hint="eastAsia" w:ascii="宋体" w:hAnsi="宋体" w:cs="宋体"/>
                <w:color w:val="auto"/>
                <w:sz w:val="21"/>
                <w:szCs w:val="21"/>
                <w:highlight w:val="yellow"/>
                <w:lang w:eastAsia="zh-CN"/>
              </w:rPr>
              <w:t>”</w:t>
            </w:r>
            <w:r>
              <w:rPr>
                <w:rFonts w:hint="eastAsia" w:ascii="宋体" w:hAnsi="宋体" w:eastAsia="宋体" w:cs="宋体"/>
                <w:color w:val="auto"/>
                <w:sz w:val="21"/>
                <w:szCs w:val="21"/>
                <w:highlight w:val="yellow"/>
                <w:lang w:eastAsia="zh-CN"/>
              </w:rPr>
              <w:t>部分</w:t>
            </w:r>
          </w:p>
        </w:tc>
      </w:tr>
      <w:tr w14:paraId="3C64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noWrap w:val="0"/>
            <w:vAlign w:val="center"/>
          </w:tcPr>
          <w:p w14:paraId="14E1FF18">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57" w:type="dxa"/>
            <w:noWrap w:val="0"/>
            <w:vAlign w:val="center"/>
          </w:tcPr>
          <w:p w14:paraId="7E608E1C">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响应有效期</w:t>
            </w:r>
          </w:p>
        </w:tc>
        <w:tc>
          <w:tcPr>
            <w:tcW w:w="1984" w:type="dxa"/>
            <w:noWrap w:val="0"/>
            <w:vAlign w:val="center"/>
          </w:tcPr>
          <w:p w14:paraId="10864AA6">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响应</w:t>
            </w:r>
            <w:r>
              <w:rPr>
                <w:rFonts w:hint="eastAsia" w:ascii="宋体" w:hAnsi="宋体" w:eastAsia="宋体" w:cs="宋体"/>
                <w:color w:val="000000"/>
                <w:sz w:val="21"/>
                <w:szCs w:val="21"/>
              </w:rPr>
              <w:t>文件内容</w:t>
            </w:r>
          </w:p>
        </w:tc>
        <w:tc>
          <w:tcPr>
            <w:tcW w:w="5409" w:type="dxa"/>
            <w:noWrap w:val="0"/>
            <w:vAlign w:val="center"/>
          </w:tcPr>
          <w:p w14:paraId="1E87A01E">
            <w:pPr>
              <w:keepNext w:val="0"/>
              <w:keepLines w:val="0"/>
              <w:suppressLineNumbers w:val="0"/>
              <w:snapToGrid w:val="0"/>
              <w:spacing w:before="0" w:beforeAutospacing="0" w:after="0" w:afterAutospacing="0" w:line="40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w:t>
            </w:r>
            <w:r>
              <w:rPr>
                <w:rFonts w:hint="eastAsia" w:ascii="宋体" w:hAnsi="宋体" w:eastAsia="宋体" w:cs="宋体"/>
                <w:color w:val="000000"/>
                <w:sz w:val="21"/>
                <w:szCs w:val="21"/>
              </w:rPr>
              <w:t>有效期为响应截止日期后90天内</w:t>
            </w:r>
          </w:p>
        </w:tc>
      </w:tr>
    </w:tbl>
    <w:p w14:paraId="3896D88E">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5D0CC77">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2E5AAF61">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（五）在比选过程中比选的任何一方不得向他人透露与比选有关的技术资料、价格或其他信息。</w:t>
      </w:r>
    </w:p>
    <w:p w14:paraId="6272693D">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21DC5474">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（七）供应商在比选时作出的所有书面承诺须由法定代表人或其授权代表签字。</w:t>
      </w:r>
    </w:p>
    <w:p w14:paraId="3AC67066">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八）比选结束后，评审小组要求参加正式比选的供应商在规定时间内书面提交最后报价及有关承诺。已提交响应文件但未在规定时间内进行最后报价的供应商，视为放弃最后报价，以供应商响应文件中的报价为准。</w:t>
      </w:r>
    </w:p>
    <w:p w14:paraId="377C6972">
      <w:pPr>
        <w:pStyle w:val="5"/>
        <w:spacing w:before="0" w:beforeAutospacing="0"/>
        <w:ind w:firstLine="562" w:firstLineChars="200"/>
        <w:outlineLvl w:val="9"/>
        <w:rPr>
          <w:rFonts w:hint="eastAsia" w:ascii="宋体" w:hAnsi="宋体" w:eastAsia="宋体" w:cs="宋体"/>
          <w:color w:val="000000"/>
        </w:rPr>
      </w:pPr>
      <w:bookmarkStart w:id="50" w:name="_Toc1775"/>
      <w:bookmarkStart w:id="51" w:name="_Toc403569781"/>
      <w:bookmarkStart w:id="52" w:name="_Toc28776"/>
      <w:bookmarkStart w:id="53" w:name="_Toc8279"/>
      <w:r>
        <w:rPr>
          <w:rFonts w:hint="eastAsia" w:ascii="宋体" w:hAnsi="宋体" w:eastAsia="宋体" w:cs="宋体"/>
          <w:color w:val="000000"/>
        </w:rPr>
        <w:t>五、评审依据</w:t>
      </w:r>
      <w:bookmarkEnd w:id="50"/>
      <w:bookmarkEnd w:id="51"/>
      <w:bookmarkEnd w:id="52"/>
      <w:bookmarkEnd w:id="53"/>
    </w:p>
    <w:p w14:paraId="23D60F44">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评审的依据为比选文件和响应文件（含有效的补充文件）。评审小组判断响应文件对比选文件的响应，仅基于响应文件本身而不靠外部证据。</w:t>
      </w:r>
    </w:p>
    <w:p w14:paraId="11D25459">
      <w:pPr>
        <w:pStyle w:val="5"/>
        <w:spacing w:before="0" w:beforeAutospacing="0"/>
        <w:ind w:firstLine="562" w:firstLineChars="200"/>
        <w:outlineLvl w:val="9"/>
        <w:rPr>
          <w:rFonts w:hint="eastAsia" w:ascii="宋体" w:hAnsi="宋体" w:eastAsia="宋体" w:cs="宋体"/>
          <w:color w:val="000000"/>
        </w:rPr>
      </w:pPr>
      <w:bookmarkStart w:id="54" w:name="_Toc5503"/>
      <w:bookmarkStart w:id="55" w:name="_Toc29340"/>
      <w:bookmarkStart w:id="56" w:name="_Toc29392"/>
      <w:bookmarkStart w:id="57" w:name="_Toc403569782"/>
      <w:r>
        <w:rPr>
          <w:rFonts w:hint="eastAsia" w:ascii="宋体" w:hAnsi="宋体" w:eastAsia="宋体" w:cs="宋体"/>
          <w:color w:val="000000"/>
        </w:rPr>
        <w:t>六、成交原则</w:t>
      </w:r>
      <w:bookmarkEnd w:id="54"/>
      <w:bookmarkEnd w:id="55"/>
      <w:bookmarkEnd w:id="56"/>
      <w:bookmarkEnd w:id="57"/>
    </w:p>
    <w:p w14:paraId="2D77D83D">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（一）评审办法</w:t>
      </w:r>
    </w:p>
    <w:p w14:paraId="529D3BCE">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1、评审小组各成员独立对每个有效响应（通过资格性审查、</w:t>
      </w:r>
      <w:r>
        <w:rPr>
          <w:rFonts w:hint="eastAsia" w:ascii="宋体" w:hAnsi="宋体" w:eastAsia="宋体" w:cs="宋体"/>
          <w:color w:val="000000"/>
          <w:kern w:val="0"/>
          <w:sz w:val="24"/>
          <w:szCs w:val="24"/>
        </w:rPr>
        <w:t>符合性审查的供应商</w:t>
      </w:r>
      <w:r>
        <w:rPr>
          <w:rFonts w:hint="eastAsia" w:ascii="宋体" w:hAnsi="宋体" w:eastAsia="宋体" w:cs="宋体"/>
          <w:color w:val="000000"/>
          <w:sz w:val="24"/>
          <w:szCs w:val="24"/>
        </w:rPr>
        <w:t>）的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46700D18">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2、根据综合评分情况按照评审得分由高到低顺序推荐</w:t>
      </w:r>
      <w:r>
        <w:rPr>
          <w:rFonts w:hint="eastAsia" w:ascii="宋体" w:hAnsi="宋体" w:eastAsia="宋体" w:cs="宋体"/>
          <w:color w:val="000000"/>
          <w:sz w:val="24"/>
          <w:szCs w:val="24"/>
          <w:lang w:val="en-US" w:eastAsia="zh-CN"/>
        </w:rPr>
        <w:t>1名</w:t>
      </w:r>
      <w:r>
        <w:rPr>
          <w:rFonts w:hint="eastAsia" w:ascii="宋体" w:hAnsi="宋体" w:eastAsia="宋体" w:cs="宋体"/>
          <w:color w:val="000000"/>
          <w:sz w:val="24"/>
          <w:szCs w:val="24"/>
        </w:rPr>
        <w:t>成交候选供应商，并编写评审报告。若供应商的评审得分相同的，按照最后报价由低到高的顺序排列推荐。评审得分且最后报价相同的，按照服务指标优劣顺序排列推荐。若所推荐的成交供应商的技术部分为0分，将失去成为成交候选供应商的资格。</w:t>
      </w:r>
    </w:p>
    <w:p w14:paraId="0A7901AE">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（二）评审细则：</w:t>
      </w:r>
    </w:p>
    <w:p w14:paraId="7A543D47">
      <w:pPr>
        <w:spacing w:line="390" w:lineRule="exact"/>
        <w:ind w:firstLine="480" w:firstLineChars="20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评分表</w:t>
      </w:r>
    </w:p>
    <w:tbl>
      <w:tblPr>
        <w:tblStyle w:val="58"/>
        <w:tblW w:w="514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3"/>
        <w:gridCol w:w="1597"/>
        <w:gridCol w:w="1350"/>
        <w:gridCol w:w="3950"/>
        <w:gridCol w:w="2264"/>
      </w:tblGrid>
      <w:tr w14:paraId="3F03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43" w:type="dxa"/>
            <w:tcBorders>
              <w:top w:val="single" w:color="000000" w:sz="4" w:space="0"/>
              <w:left w:val="single" w:color="000000" w:sz="4" w:space="0"/>
              <w:bottom w:val="single" w:color="000000" w:sz="4" w:space="0"/>
              <w:right w:val="single" w:color="000000" w:sz="4" w:space="0"/>
            </w:tcBorders>
            <w:noWrap w:val="0"/>
            <w:vAlign w:val="center"/>
          </w:tcPr>
          <w:p w14:paraId="5530A4CC">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kern w:val="2"/>
                <w:sz w:val="21"/>
                <w:szCs w:val="21"/>
              </w:rPr>
            </w:pPr>
            <w:r>
              <w:rPr>
                <w:rFonts w:hint="eastAsia" w:ascii="宋体" w:hAnsi="宋体" w:eastAsia="宋体" w:cs="宋体"/>
                <w:b/>
                <w:bCs/>
                <w:kern w:val="2"/>
                <w:sz w:val="21"/>
                <w:szCs w:val="21"/>
                <w:lang w:val="en-US" w:eastAsia="zh-CN" w:bidi="ar"/>
              </w:rPr>
              <w:t>序号</w:t>
            </w:r>
          </w:p>
        </w:tc>
        <w:tc>
          <w:tcPr>
            <w:tcW w:w="1597" w:type="dxa"/>
            <w:tcBorders>
              <w:top w:val="single" w:color="000000" w:sz="4" w:space="0"/>
              <w:left w:val="nil"/>
              <w:bottom w:val="single" w:color="000000" w:sz="4" w:space="0"/>
              <w:right w:val="single" w:color="000000" w:sz="4" w:space="0"/>
            </w:tcBorders>
            <w:noWrap w:val="0"/>
            <w:vAlign w:val="center"/>
          </w:tcPr>
          <w:p w14:paraId="156F94A6">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kern w:val="2"/>
                <w:sz w:val="21"/>
                <w:szCs w:val="21"/>
              </w:rPr>
            </w:pPr>
            <w:r>
              <w:rPr>
                <w:rFonts w:hint="eastAsia" w:ascii="宋体" w:hAnsi="宋体" w:eastAsia="宋体" w:cs="宋体"/>
                <w:b/>
                <w:bCs/>
                <w:kern w:val="2"/>
                <w:sz w:val="21"/>
                <w:szCs w:val="21"/>
                <w:lang w:val="en-US" w:eastAsia="zh-CN" w:bidi="ar"/>
              </w:rPr>
              <w:t>评分因素及权值</w:t>
            </w:r>
          </w:p>
        </w:tc>
        <w:tc>
          <w:tcPr>
            <w:tcW w:w="1350" w:type="dxa"/>
            <w:tcBorders>
              <w:top w:val="single" w:color="000000" w:sz="4" w:space="0"/>
              <w:left w:val="nil"/>
              <w:bottom w:val="single" w:color="000000" w:sz="4" w:space="0"/>
              <w:right w:val="single" w:color="000000" w:sz="4" w:space="0"/>
            </w:tcBorders>
            <w:noWrap w:val="0"/>
            <w:vAlign w:val="center"/>
          </w:tcPr>
          <w:p w14:paraId="605479B2">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kern w:val="2"/>
                <w:sz w:val="21"/>
                <w:szCs w:val="21"/>
              </w:rPr>
            </w:pPr>
            <w:r>
              <w:rPr>
                <w:rFonts w:hint="eastAsia" w:ascii="宋体" w:hAnsi="宋体" w:eastAsia="宋体" w:cs="宋体"/>
                <w:b/>
                <w:bCs/>
                <w:kern w:val="2"/>
                <w:sz w:val="21"/>
                <w:szCs w:val="21"/>
                <w:lang w:val="en-US" w:eastAsia="zh-CN" w:bidi="ar"/>
              </w:rPr>
              <w:t>分值</w:t>
            </w:r>
          </w:p>
        </w:tc>
        <w:tc>
          <w:tcPr>
            <w:tcW w:w="3950" w:type="dxa"/>
            <w:tcBorders>
              <w:top w:val="single" w:color="000000" w:sz="4" w:space="0"/>
              <w:left w:val="nil"/>
              <w:bottom w:val="single" w:color="000000" w:sz="4" w:space="0"/>
              <w:right w:val="single" w:color="000000" w:sz="4" w:space="0"/>
            </w:tcBorders>
            <w:noWrap w:val="0"/>
            <w:vAlign w:val="center"/>
          </w:tcPr>
          <w:p w14:paraId="68B3D282">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kern w:val="2"/>
                <w:sz w:val="21"/>
                <w:szCs w:val="21"/>
              </w:rPr>
            </w:pPr>
            <w:r>
              <w:rPr>
                <w:rFonts w:hint="eastAsia" w:ascii="宋体" w:hAnsi="宋体" w:eastAsia="宋体" w:cs="宋体"/>
                <w:b/>
                <w:bCs/>
                <w:kern w:val="2"/>
                <w:sz w:val="21"/>
                <w:szCs w:val="21"/>
                <w:lang w:val="en-US" w:eastAsia="zh-CN" w:bidi="ar"/>
              </w:rPr>
              <w:t>评分标准</w:t>
            </w:r>
          </w:p>
        </w:tc>
        <w:tc>
          <w:tcPr>
            <w:tcW w:w="2264" w:type="dxa"/>
            <w:tcBorders>
              <w:top w:val="single" w:color="000000" w:sz="4" w:space="0"/>
              <w:left w:val="nil"/>
              <w:bottom w:val="single" w:color="000000" w:sz="4" w:space="0"/>
              <w:right w:val="single" w:color="000000" w:sz="4" w:space="0"/>
            </w:tcBorders>
            <w:noWrap w:val="0"/>
            <w:vAlign w:val="center"/>
          </w:tcPr>
          <w:p w14:paraId="5250A638">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bCs/>
                <w:kern w:val="2"/>
                <w:sz w:val="21"/>
                <w:szCs w:val="21"/>
              </w:rPr>
            </w:pPr>
            <w:r>
              <w:rPr>
                <w:rFonts w:hint="eastAsia" w:ascii="宋体" w:hAnsi="宋体" w:eastAsia="宋体" w:cs="宋体"/>
                <w:b/>
                <w:bCs/>
                <w:kern w:val="2"/>
                <w:sz w:val="21"/>
                <w:szCs w:val="21"/>
                <w:lang w:val="en-US" w:eastAsia="zh-CN" w:bidi="ar"/>
              </w:rPr>
              <w:t>说明</w:t>
            </w:r>
          </w:p>
        </w:tc>
      </w:tr>
      <w:tr w14:paraId="57C52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4" w:hRule="atLeast"/>
          <w:jc w:val="center"/>
        </w:trPr>
        <w:tc>
          <w:tcPr>
            <w:tcW w:w="743" w:type="dxa"/>
            <w:tcBorders>
              <w:top w:val="single" w:color="000000" w:sz="4" w:space="0"/>
              <w:left w:val="single" w:color="000000" w:sz="4" w:space="0"/>
              <w:bottom w:val="single" w:color="000000" w:sz="4" w:space="0"/>
              <w:right w:val="single" w:color="000000" w:sz="4" w:space="0"/>
            </w:tcBorders>
            <w:noWrap w:val="0"/>
            <w:vAlign w:val="center"/>
          </w:tcPr>
          <w:p w14:paraId="340E1722">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1</w:t>
            </w:r>
          </w:p>
        </w:tc>
        <w:tc>
          <w:tcPr>
            <w:tcW w:w="1597" w:type="dxa"/>
            <w:tcBorders>
              <w:top w:val="single" w:color="000000" w:sz="4" w:space="0"/>
              <w:left w:val="nil"/>
              <w:bottom w:val="single" w:color="000000" w:sz="4" w:space="0"/>
              <w:right w:val="single" w:color="000000" w:sz="4" w:space="0"/>
            </w:tcBorders>
            <w:noWrap w:val="0"/>
            <w:vAlign w:val="center"/>
          </w:tcPr>
          <w:p w14:paraId="5726A309">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磋商报价</w:t>
            </w:r>
          </w:p>
          <w:p w14:paraId="1820994C">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（30%）</w:t>
            </w:r>
          </w:p>
        </w:tc>
        <w:tc>
          <w:tcPr>
            <w:tcW w:w="1350" w:type="dxa"/>
            <w:tcBorders>
              <w:top w:val="single" w:color="000000" w:sz="4" w:space="0"/>
              <w:left w:val="nil"/>
              <w:bottom w:val="single" w:color="000000" w:sz="4" w:space="0"/>
              <w:right w:val="single" w:color="000000" w:sz="4" w:space="0"/>
            </w:tcBorders>
            <w:noWrap w:val="0"/>
            <w:vAlign w:val="center"/>
          </w:tcPr>
          <w:p w14:paraId="47ABCB4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30分</w:t>
            </w:r>
          </w:p>
        </w:tc>
        <w:tc>
          <w:tcPr>
            <w:tcW w:w="3950" w:type="dxa"/>
            <w:tcBorders>
              <w:top w:val="single" w:color="000000" w:sz="4" w:space="0"/>
              <w:left w:val="nil"/>
              <w:bottom w:val="single" w:color="000000" w:sz="4" w:space="0"/>
              <w:right w:val="single" w:color="000000" w:sz="4" w:space="0"/>
            </w:tcBorders>
            <w:noWrap w:val="0"/>
            <w:vAlign w:val="center"/>
          </w:tcPr>
          <w:p w14:paraId="5106A800">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满足资格性、符合性要求且最后报价最低的供应商的价格为磋商基准价，其价格分为满分。其他供应商的价格分统一按照下列公式计算：</w:t>
            </w:r>
          </w:p>
          <w:p w14:paraId="100507F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报价得分=（基准价/最后报价）×价格权值×100</w:t>
            </w:r>
          </w:p>
        </w:tc>
        <w:tc>
          <w:tcPr>
            <w:tcW w:w="2264" w:type="dxa"/>
            <w:tcBorders>
              <w:top w:val="single" w:color="000000" w:sz="4" w:space="0"/>
              <w:left w:val="nil"/>
              <w:bottom w:val="single" w:color="000000" w:sz="4" w:space="0"/>
              <w:right w:val="single" w:color="000000" w:sz="4" w:space="0"/>
            </w:tcBorders>
            <w:noWrap w:val="0"/>
            <w:vAlign w:val="center"/>
          </w:tcPr>
          <w:p w14:paraId="4E64E1CA">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p>
        </w:tc>
      </w:tr>
      <w:tr w14:paraId="2697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743" w:type="dxa"/>
            <w:vMerge w:val="restart"/>
            <w:tcBorders>
              <w:top w:val="nil"/>
              <w:left w:val="single" w:color="000000" w:sz="4" w:space="0"/>
              <w:bottom w:val="single" w:color="000000" w:sz="4" w:space="0"/>
              <w:right w:val="single" w:color="000000" w:sz="4" w:space="0"/>
            </w:tcBorders>
            <w:noWrap w:val="0"/>
            <w:vAlign w:val="center"/>
          </w:tcPr>
          <w:p w14:paraId="65BAAD19">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2</w:t>
            </w:r>
          </w:p>
        </w:tc>
        <w:tc>
          <w:tcPr>
            <w:tcW w:w="1597" w:type="dxa"/>
            <w:vMerge w:val="restart"/>
            <w:tcBorders>
              <w:top w:val="nil"/>
              <w:left w:val="nil"/>
              <w:bottom w:val="single" w:color="000000" w:sz="4" w:space="0"/>
              <w:right w:val="single" w:color="000000" w:sz="4" w:space="0"/>
            </w:tcBorders>
            <w:noWrap w:val="0"/>
            <w:vAlign w:val="center"/>
          </w:tcPr>
          <w:p w14:paraId="05BAD9A2">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服务部分</w:t>
            </w:r>
          </w:p>
          <w:p w14:paraId="471C3FEF">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（5</w:t>
            </w:r>
            <w:r>
              <w:rPr>
                <w:rFonts w:hint="eastAsia" w:ascii="宋体" w:hAnsi="宋体" w:cs="宋体"/>
                <w:b w:val="0"/>
                <w:kern w:val="2"/>
                <w:sz w:val="21"/>
                <w:szCs w:val="21"/>
                <w:lang w:val="en-US" w:eastAsia="zh-CN" w:bidi="ar"/>
              </w:rPr>
              <w:t>5</w:t>
            </w:r>
            <w:r>
              <w:rPr>
                <w:rFonts w:hint="eastAsia" w:ascii="宋体" w:hAnsi="宋体" w:eastAsia="宋体" w:cs="宋体"/>
                <w:b w:val="0"/>
                <w:kern w:val="2"/>
                <w:sz w:val="21"/>
                <w:szCs w:val="21"/>
                <w:lang w:val="en-US" w:eastAsia="zh-CN" w:bidi="ar"/>
              </w:rPr>
              <w:t>%）</w:t>
            </w:r>
          </w:p>
        </w:tc>
        <w:tc>
          <w:tcPr>
            <w:tcW w:w="1350" w:type="dxa"/>
            <w:tcBorders>
              <w:top w:val="single" w:color="000000" w:sz="4" w:space="0"/>
              <w:left w:val="nil"/>
              <w:bottom w:val="single" w:color="000000" w:sz="4" w:space="0"/>
              <w:right w:val="single" w:color="000000" w:sz="4" w:space="0"/>
            </w:tcBorders>
            <w:noWrap w:val="0"/>
            <w:vAlign w:val="center"/>
          </w:tcPr>
          <w:p w14:paraId="604EAAD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项目服务功能及技术要求</w:t>
            </w:r>
          </w:p>
          <w:p w14:paraId="6A6E535C">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40分</w:t>
            </w:r>
          </w:p>
        </w:tc>
        <w:tc>
          <w:tcPr>
            <w:tcW w:w="3950" w:type="dxa"/>
            <w:tcBorders>
              <w:top w:val="single" w:color="000000" w:sz="4" w:space="0"/>
              <w:left w:val="nil"/>
              <w:bottom w:val="single" w:color="000000" w:sz="4" w:space="0"/>
              <w:right w:val="single" w:color="000000" w:sz="4" w:space="0"/>
            </w:tcBorders>
            <w:noWrap w:val="0"/>
            <w:vAlign w:val="center"/>
          </w:tcPr>
          <w:p w14:paraId="796B0DE4">
            <w:pPr>
              <w:keepNext w:val="0"/>
              <w:keepLines w:val="0"/>
              <w:widowControl w:val="0"/>
              <w:suppressLineNumbers w:val="0"/>
              <w:autoSpaceDE w:val="0"/>
              <w:autoSpaceDN/>
              <w:spacing w:before="0" w:beforeAutospacing="0" w:after="0" w:afterAutospacing="0"/>
              <w:ind w:left="38" w:right="0" w:firstLine="0"/>
              <w:jc w:val="both"/>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起评分：有效投标人的起评分为</w:t>
            </w:r>
            <w:r>
              <w:rPr>
                <w:rFonts w:hint="default" w:ascii="Times New Roman" w:hAnsi="Times New Roman" w:eastAsia="宋体" w:cs="Times New Roman"/>
                <w:kern w:val="2"/>
                <w:sz w:val="21"/>
                <w:szCs w:val="21"/>
                <w:lang w:val="en-US" w:eastAsia="zh-CN" w:bidi="ar"/>
              </w:rPr>
              <w:t>40</w:t>
            </w:r>
            <w:r>
              <w:rPr>
                <w:rFonts w:hint="eastAsia" w:ascii="宋体" w:hAnsi="宋体" w:eastAsia="宋体" w:cs="宋体"/>
                <w:kern w:val="2"/>
                <w:sz w:val="21"/>
                <w:szCs w:val="21"/>
                <w:lang w:val="en-US" w:eastAsia="zh-CN" w:bidi="ar"/>
              </w:rPr>
              <w:t>分。</w:t>
            </w:r>
          </w:p>
          <w:p w14:paraId="7612AD80">
            <w:pPr>
              <w:keepNext w:val="0"/>
              <w:keepLines w:val="0"/>
              <w:widowControl w:val="0"/>
              <w:suppressLineNumbers w:val="0"/>
              <w:autoSpaceDE w:val="0"/>
              <w:autoSpaceDN/>
              <w:spacing w:before="0" w:beforeAutospacing="0" w:after="0" w:afterAutospacing="0" w:line="256" w:lineRule="auto"/>
              <w:ind w:left="38" w:right="0" w:firstLine="0"/>
              <w:jc w:val="both"/>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扣分条款：</w:t>
            </w:r>
          </w:p>
          <w:p w14:paraId="2CAD7BC8">
            <w:pPr>
              <w:keepNext w:val="0"/>
              <w:keepLines w:val="0"/>
              <w:widowControl w:val="0"/>
              <w:suppressLineNumbers w:val="0"/>
              <w:autoSpaceDE w:val="0"/>
              <w:autoSpaceDN/>
              <w:spacing w:before="0" w:beforeAutospacing="0" w:after="0" w:afterAutospacing="0"/>
              <w:ind w:left="38" w:right="0" w:firstLine="0"/>
              <w:jc w:val="both"/>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1"/>
                <w:szCs w:val="21"/>
                <w:lang w:val="en-US" w:eastAsia="zh-CN" w:bidi="ar"/>
              </w:rPr>
              <w:t>2.1</w:t>
            </w:r>
            <w:r>
              <w:rPr>
                <w:rFonts w:hint="eastAsia" w:ascii="宋体" w:hAnsi="宋体" w:eastAsia="宋体" w:cs="宋体"/>
                <w:kern w:val="2"/>
                <w:sz w:val="21"/>
                <w:szCs w:val="21"/>
                <w:lang w:val="en-US" w:eastAsia="zh-CN" w:bidi="ar"/>
              </w:rPr>
              <w:t>投标文件投标应答有一条不满足招标文件重要技术需求的（本招标文件第二篇中带</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号标注的部分），从起评分中扣除</w:t>
            </w:r>
            <w:r>
              <w:rPr>
                <w:rFonts w:hint="eastAsia" w:cs="Times New Roman"/>
                <w:kern w:val="2"/>
                <w:sz w:val="21"/>
                <w:szCs w:val="21"/>
                <w:lang w:val="en-US" w:eastAsia="zh-CN" w:bidi="ar"/>
              </w:rPr>
              <w:t>10</w:t>
            </w:r>
            <w:r>
              <w:rPr>
                <w:rFonts w:hint="eastAsia" w:ascii="宋体" w:hAnsi="宋体" w:eastAsia="宋体" w:cs="宋体"/>
                <w:kern w:val="2"/>
                <w:sz w:val="21"/>
                <w:szCs w:val="21"/>
                <w:lang w:val="en-US" w:eastAsia="zh-CN" w:bidi="ar"/>
              </w:rPr>
              <w:t>分，</w:t>
            </w:r>
            <w:r>
              <w:rPr>
                <w:rFonts w:hint="eastAsia" w:ascii="宋体" w:hAnsi="宋体" w:cs="宋体"/>
                <w:kern w:val="2"/>
                <w:sz w:val="21"/>
                <w:szCs w:val="21"/>
                <w:lang w:val="en-US" w:eastAsia="zh-CN" w:bidi="ar"/>
              </w:rPr>
              <w:t>共计30分</w:t>
            </w:r>
            <w:r>
              <w:rPr>
                <w:rFonts w:hint="eastAsia" w:ascii="宋体" w:hAnsi="宋体" w:eastAsia="宋体" w:cs="宋体"/>
                <w:kern w:val="2"/>
                <w:sz w:val="21"/>
                <w:szCs w:val="21"/>
                <w:lang w:val="en-US" w:eastAsia="zh-CN" w:bidi="ar"/>
              </w:rPr>
              <w:t>。</w:t>
            </w:r>
          </w:p>
          <w:p w14:paraId="42FB4732">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default" w:ascii="Times New Roman" w:hAnsi="Times New Roman" w:eastAsia="宋体" w:cs="Times New Roman"/>
                <w:kern w:val="2"/>
                <w:sz w:val="21"/>
                <w:szCs w:val="21"/>
                <w:lang w:val="en-US" w:eastAsia="zh-CN" w:bidi="ar"/>
              </w:rPr>
              <w:t>2.2</w:t>
            </w:r>
            <w:r>
              <w:rPr>
                <w:rFonts w:hint="eastAsia" w:ascii="宋体" w:hAnsi="宋体" w:eastAsia="宋体" w:cs="宋体"/>
                <w:kern w:val="2"/>
                <w:sz w:val="21"/>
                <w:szCs w:val="21"/>
                <w:lang w:val="en-US" w:eastAsia="zh-CN" w:bidi="ar"/>
              </w:rPr>
              <w:t>投标文件投标应答有一条不满足招标文件一般性技术需求的（本招标文件第二篇中</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或</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号标注的部分除外），从起评分中扣除</w:t>
            </w:r>
            <w:r>
              <w:rPr>
                <w:rFonts w:hint="eastAsia" w:cs="Times New Roman"/>
                <w:kern w:val="2"/>
                <w:sz w:val="21"/>
                <w:szCs w:val="21"/>
                <w:lang w:val="en-US" w:eastAsia="zh-CN" w:bidi="ar"/>
              </w:rPr>
              <w:t>2</w:t>
            </w:r>
            <w:r>
              <w:rPr>
                <w:rFonts w:hint="eastAsia" w:ascii="宋体" w:hAnsi="宋体" w:eastAsia="宋体" w:cs="宋体"/>
                <w:kern w:val="2"/>
                <w:sz w:val="21"/>
                <w:szCs w:val="21"/>
                <w:lang w:val="en-US" w:eastAsia="zh-CN" w:bidi="ar"/>
              </w:rPr>
              <w:t>分，扣完为止。</w:t>
            </w:r>
          </w:p>
        </w:tc>
        <w:tc>
          <w:tcPr>
            <w:tcW w:w="2264" w:type="dxa"/>
            <w:tcBorders>
              <w:top w:val="single" w:color="000000" w:sz="4" w:space="0"/>
              <w:left w:val="nil"/>
              <w:bottom w:val="single" w:color="000000" w:sz="4" w:space="0"/>
              <w:right w:val="single" w:color="000000" w:sz="4" w:space="0"/>
            </w:tcBorders>
            <w:noWrap w:val="0"/>
            <w:vAlign w:val="center"/>
          </w:tcPr>
          <w:p w14:paraId="0BC0878A">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default" w:ascii="Segoe UI" w:hAnsi="Segoe UI" w:eastAsia="Segoe UI" w:cs="Segoe UI"/>
                <w:i w:val="0"/>
                <w:iCs w:val="0"/>
                <w:caps w:val="0"/>
                <w:color w:val="0F1115"/>
                <w:spacing w:val="0"/>
                <w:kern w:val="2"/>
                <w:sz w:val="24"/>
                <w:szCs w:val="24"/>
                <w:shd w:val="clear" w:color="auto" w:fill="FFFFFF"/>
                <w:lang w:val="en-US" w:eastAsia="zh-CN" w:bidi="ar"/>
              </w:rPr>
              <w:t> </w:t>
            </w:r>
            <w:r>
              <w:rPr>
                <w:rFonts w:hint="eastAsia" w:ascii="宋体" w:hAnsi="宋体" w:eastAsia="宋体" w:cs="宋体"/>
                <w:b w:val="0"/>
                <w:kern w:val="2"/>
                <w:sz w:val="21"/>
                <w:szCs w:val="21"/>
                <w:lang w:val="en-US" w:eastAsia="zh-CN" w:bidi="ar"/>
              </w:rPr>
              <w:t>带“▲”号的条款，投标人须按采购文件要求提供系统功能截图、检测报告或承诺函。评标委员会根据所供材料评审功能符合性；未提供或不符合要求者，视为不满足相应技术需求。</w:t>
            </w:r>
          </w:p>
        </w:tc>
      </w:tr>
      <w:tr w14:paraId="75A43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3" w:hRule="atLeast"/>
          <w:jc w:val="center"/>
        </w:trPr>
        <w:tc>
          <w:tcPr>
            <w:tcW w:w="743" w:type="dxa"/>
            <w:vMerge w:val="continue"/>
            <w:tcBorders>
              <w:top w:val="nil"/>
              <w:left w:val="single" w:color="000000" w:sz="4" w:space="0"/>
              <w:bottom w:val="single" w:color="000000" w:sz="4" w:space="0"/>
              <w:right w:val="single" w:color="000000" w:sz="4" w:space="0"/>
            </w:tcBorders>
            <w:noWrap w:val="0"/>
            <w:vAlign w:val="center"/>
          </w:tcPr>
          <w:p w14:paraId="24C57A1B">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1597" w:type="dxa"/>
            <w:vMerge w:val="continue"/>
            <w:tcBorders>
              <w:top w:val="nil"/>
              <w:left w:val="nil"/>
              <w:bottom w:val="single" w:color="000000" w:sz="4" w:space="0"/>
              <w:right w:val="single" w:color="000000" w:sz="4" w:space="0"/>
            </w:tcBorders>
            <w:noWrap w:val="0"/>
            <w:vAlign w:val="center"/>
          </w:tcPr>
          <w:p w14:paraId="403C779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50" w:type="dxa"/>
            <w:tcBorders>
              <w:top w:val="single" w:color="C0C0C0" w:sz="4" w:space="0"/>
              <w:left w:val="nil"/>
              <w:bottom w:val="single" w:color="000000" w:sz="4" w:space="0"/>
              <w:right w:val="single" w:color="000000" w:sz="4" w:space="0"/>
            </w:tcBorders>
            <w:noWrap w:val="0"/>
            <w:vAlign w:val="center"/>
          </w:tcPr>
          <w:p w14:paraId="5F10BE76">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cs="宋体"/>
                <w:b w:val="0"/>
                <w:kern w:val="2"/>
                <w:sz w:val="21"/>
                <w:szCs w:val="21"/>
                <w:lang w:val="en-US" w:eastAsia="zh-CN" w:bidi="ar"/>
              </w:rPr>
              <w:t>服务</w:t>
            </w:r>
            <w:r>
              <w:rPr>
                <w:rFonts w:hint="eastAsia" w:ascii="宋体" w:hAnsi="宋体" w:eastAsia="宋体" w:cs="宋体"/>
                <w:b w:val="0"/>
                <w:kern w:val="2"/>
                <w:sz w:val="21"/>
                <w:szCs w:val="21"/>
                <w:lang w:val="en-US" w:eastAsia="zh-CN" w:bidi="ar"/>
              </w:rPr>
              <w:t>方案</w:t>
            </w:r>
          </w:p>
          <w:p w14:paraId="550AD731">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1</w:t>
            </w:r>
            <w:r>
              <w:rPr>
                <w:rFonts w:hint="eastAsia" w:ascii="宋体" w:hAnsi="宋体" w:cs="宋体"/>
                <w:b w:val="0"/>
                <w:kern w:val="2"/>
                <w:sz w:val="21"/>
                <w:szCs w:val="21"/>
                <w:lang w:val="en-US" w:eastAsia="zh-CN" w:bidi="ar"/>
              </w:rPr>
              <w:t>5</w:t>
            </w:r>
            <w:r>
              <w:rPr>
                <w:rFonts w:hint="eastAsia" w:ascii="宋体" w:hAnsi="宋体" w:eastAsia="宋体" w:cs="宋体"/>
                <w:b w:val="0"/>
                <w:kern w:val="2"/>
                <w:sz w:val="21"/>
                <w:szCs w:val="21"/>
                <w:lang w:val="en-US" w:eastAsia="zh-CN" w:bidi="ar"/>
              </w:rPr>
              <w:t>分</w:t>
            </w:r>
          </w:p>
        </w:tc>
        <w:tc>
          <w:tcPr>
            <w:tcW w:w="3950" w:type="dxa"/>
            <w:tcBorders>
              <w:top w:val="single" w:color="000000" w:sz="4" w:space="0"/>
              <w:left w:val="nil"/>
              <w:bottom w:val="single" w:color="000000" w:sz="4" w:space="0"/>
              <w:right w:val="single" w:color="000000" w:sz="4" w:space="0"/>
            </w:tcBorders>
            <w:noWrap w:val="0"/>
            <w:vAlign w:val="center"/>
          </w:tcPr>
          <w:p w14:paraId="6A03C204">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结合本项目的特点，投标人须提供运维方案，投标人须提供专项运维方案，内容包括运维机构组成、人员配置、任务分配、软硬件运维、应急响应等。</w:t>
            </w:r>
          </w:p>
        </w:tc>
        <w:tc>
          <w:tcPr>
            <w:tcW w:w="2264" w:type="dxa"/>
            <w:tcBorders>
              <w:top w:val="single" w:color="000000" w:sz="4" w:space="0"/>
              <w:left w:val="nil"/>
              <w:bottom w:val="single" w:color="000000" w:sz="4" w:space="0"/>
              <w:right w:val="single" w:color="000000" w:sz="4" w:space="0"/>
            </w:tcBorders>
            <w:noWrap w:val="0"/>
            <w:vAlign w:val="center"/>
          </w:tcPr>
          <w:p w14:paraId="190DF6D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按四级标准评审：1</w:t>
            </w:r>
            <w:r>
              <w:rPr>
                <w:rFonts w:hint="eastAsia" w:ascii="宋体" w:hAnsi="宋体" w:cs="宋体"/>
                <w:b w:val="0"/>
                <w:kern w:val="2"/>
                <w:sz w:val="21"/>
                <w:szCs w:val="21"/>
                <w:lang w:val="en-US" w:eastAsia="zh-CN" w:bidi="ar"/>
              </w:rPr>
              <w:t>5</w:t>
            </w:r>
            <w:r>
              <w:rPr>
                <w:rFonts w:hint="eastAsia" w:ascii="宋体" w:hAnsi="宋体" w:eastAsia="宋体" w:cs="宋体"/>
                <w:b w:val="0"/>
                <w:kern w:val="2"/>
                <w:sz w:val="21"/>
                <w:szCs w:val="21"/>
                <w:lang w:val="en-US" w:eastAsia="zh-CN" w:bidi="ar"/>
              </w:rPr>
              <w:t>分（方案完整、贴合分类分级系统运维需求、针对性强、可操作性强）；</w:t>
            </w:r>
            <w:r>
              <w:rPr>
                <w:rFonts w:hint="eastAsia" w:ascii="宋体" w:hAnsi="宋体" w:cs="宋体"/>
                <w:b w:val="0"/>
                <w:kern w:val="2"/>
                <w:sz w:val="21"/>
                <w:szCs w:val="21"/>
                <w:lang w:val="en-US" w:eastAsia="zh-CN" w:bidi="ar"/>
              </w:rPr>
              <w:t>10</w:t>
            </w:r>
            <w:r>
              <w:rPr>
                <w:rFonts w:hint="eastAsia" w:ascii="宋体" w:hAnsi="宋体" w:eastAsia="宋体" w:cs="宋体"/>
                <w:b w:val="0"/>
                <w:kern w:val="2"/>
                <w:sz w:val="21"/>
                <w:szCs w:val="21"/>
                <w:lang w:val="en-US" w:eastAsia="zh-CN" w:bidi="ar"/>
              </w:rPr>
              <w:t>分（方案较完整、基本满足运维需求、具备可操作性）；</w:t>
            </w:r>
            <w:r>
              <w:rPr>
                <w:rFonts w:hint="eastAsia" w:ascii="宋体" w:hAnsi="宋体" w:cs="宋体"/>
                <w:b w:val="0"/>
                <w:kern w:val="2"/>
                <w:sz w:val="21"/>
                <w:szCs w:val="21"/>
                <w:lang w:val="en-US" w:eastAsia="zh-CN" w:bidi="ar"/>
              </w:rPr>
              <w:t>5</w:t>
            </w:r>
            <w:r>
              <w:rPr>
                <w:rFonts w:hint="eastAsia" w:ascii="宋体" w:hAnsi="宋体" w:eastAsia="宋体" w:cs="宋体"/>
                <w:b w:val="0"/>
                <w:kern w:val="2"/>
                <w:sz w:val="21"/>
                <w:szCs w:val="21"/>
                <w:lang w:val="en-US" w:eastAsia="zh-CN" w:bidi="ar"/>
              </w:rPr>
              <w:t>分（方案一般、针对性不足、内容简略）；0分（方案有明显缺陷、严重不符需求或未提供）。</w:t>
            </w:r>
          </w:p>
        </w:tc>
      </w:tr>
      <w:tr w14:paraId="4E6B9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7" w:hRule="atLeast"/>
          <w:jc w:val="center"/>
        </w:trPr>
        <w:tc>
          <w:tcPr>
            <w:tcW w:w="743" w:type="dxa"/>
            <w:tcBorders>
              <w:top w:val="single" w:color="000000" w:sz="4" w:space="0"/>
              <w:left w:val="single" w:color="000000" w:sz="4" w:space="0"/>
              <w:right w:val="single" w:color="000000" w:sz="4" w:space="0"/>
            </w:tcBorders>
            <w:noWrap w:val="0"/>
            <w:vAlign w:val="center"/>
          </w:tcPr>
          <w:p w14:paraId="48DA2F05">
            <w:pPr>
              <w:keepNext w:val="0"/>
              <w:keepLines w:val="0"/>
              <w:widowControl w:val="0"/>
              <w:suppressLineNumbers w:val="0"/>
              <w:autoSpaceDE w:val="0"/>
              <w:autoSpaceDN/>
              <w:spacing w:before="0" w:beforeAutospacing="0" w:after="0" w:afterAutospacing="0"/>
              <w:ind w:left="0" w:right="0"/>
              <w:jc w:val="center"/>
              <w:rPr>
                <w:rFonts w:hint="eastAsia" w:ascii="宋体" w:hAnsi="宋体" w:cs="Times New Roman"/>
                <w:b w:val="0"/>
                <w:kern w:val="2"/>
                <w:sz w:val="21"/>
                <w:szCs w:val="21"/>
                <w:lang w:val="en-US" w:eastAsia="zh-CN"/>
              </w:rPr>
            </w:pPr>
          </w:p>
        </w:tc>
        <w:tc>
          <w:tcPr>
            <w:tcW w:w="1597" w:type="dxa"/>
            <w:vMerge w:val="restart"/>
            <w:tcBorders>
              <w:top w:val="nil"/>
              <w:left w:val="nil"/>
              <w:right w:val="single" w:color="000000" w:sz="4" w:space="0"/>
            </w:tcBorders>
            <w:noWrap w:val="0"/>
            <w:vAlign w:val="center"/>
          </w:tcPr>
          <w:p w14:paraId="55092B86">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商务部分</w:t>
            </w:r>
          </w:p>
          <w:p w14:paraId="5683195A">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w:t>
            </w:r>
            <w:r>
              <w:rPr>
                <w:rFonts w:hint="eastAsia" w:ascii="宋体" w:hAnsi="宋体" w:cs="宋体"/>
                <w:b w:val="0"/>
                <w:kern w:val="2"/>
                <w:sz w:val="21"/>
                <w:szCs w:val="21"/>
                <w:lang w:val="en-US" w:eastAsia="zh-CN" w:bidi="ar"/>
              </w:rPr>
              <w:t>15</w:t>
            </w:r>
            <w:r>
              <w:rPr>
                <w:rFonts w:hint="eastAsia" w:ascii="宋体" w:hAnsi="宋体" w:eastAsia="宋体" w:cs="宋体"/>
                <w:b w:val="0"/>
                <w:kern w:val="2"/>
                <w:sz w:val="21"/>
                <w:szCs w:val="21"/>
                <w:lang w:val="en-US" w:eastAsia="zh-CN" w:bidi="ar"/>
              </w:rPr>
              <w:t>%）</w:t>
            </w:r>
          </w:p>
        </w:tc>
        <w:tc>
          <w:tcPr>
            <w:tcW w:w="1350" w:type="dxa"/>
            <w:tcBorders>
              <w:top w:val="single" w:color="000000" w:sz="4" w:space="0"/>
              <w:left w:val="nil"/>
              <w:right w:val="single" w:color="000000" w:sz="4" w:space="0"/>
            </w:tcBorders>
            <w:noWrap w:val="0"/>
            <w:vAlign w:val="center"/>
          </w:tcPr>
          <w:p w14:paraId="71FDAC73">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cs="宋体"/>
                <w:b w:val="0"/>
                <w:kern w:val="2"/>
                <w:sz w:val="21"/>
                <w:szCs w:val="21"/>
                <w:highlight w:val="yellow"/>
                <w:lang w:val="en-US" w:eastAsia="zh-CN" w:bidi="ar"/>
              </w:rPr>
            </w:pPr>
            <w:r>
              <w:rPr>
                <w:rFonts w:hint="eastAsia" w:ascii="宋体" w:hAnsi="宋体" w:cs="宋体"/>
                <w:b w:val="0"/>
                <w:kern w:val="2"/>
                <w:sz w:val="21"/>
                <w:szCs w:val="21"/>
                <w:highlight w:val="yellow"/>
                <w:lang w:val="en-US" w:eastAsia="zh-CN" w:bidi="ar"/>
              </w:rPr>
              <w:t>培训服务</w:t>
            </w:r>
          </w:p>
          <w:p w14:paraId="7607F34C">
            <w:pPr>
              <w:keepNext w:val="0"/>
              <w:keepLines w:val="0"/>
              <w:suppressLineNumbers w:val="0"/>
              <w:autoSpaceDE w:val="0"/>
              <w:spacing w:before="0" w:beforeAutospacing="0" w:after="0" w:afterAutospacing="0"/>
              <w:ind w:left="0" w:right="0"/>
              <w:jc w:val="both"/>
              <w:rPr>
                <w:rFonts w:hint="default"/>
                <w:szCs w:val="20"/>
                <w:highlight w:val="yellow"/>
                <w:lang w:val="en-US" w:eastAsia="zh-CN"/>
              </w:rPr>
            </w:pPr>
            <w:r>
              <w:rPr>
                <w:rFonts w:hint="eastAsia" w:ascii="宋体" w:hAnsi="宋体" w:cs="宋体"/>
                <w:b w:val="0"/>
                <w:kern w:val="2"/>
                <w:sz w:val="21"/>
                <w:szCs w:val="21"/>
                <w:highlight w:val="yellow"/>
                <w:lang w:val="en-US" w:eastAsia="zh-CN" w:bidi="ar"/>
              </w:rPr>
              <w:t>3分</w:t>
            </w:r>
          </w:p>
        </w:tc>
        <w:tc>
          <w:tcPr>
            <w:tcW w:w="3950" w:type="dxa"/>
            <w:tcBorders>
              <w:top w:val="single" w:color="000000" w:sz="4" w:space="0"/>
              <w:left w:val="nil"/>
              <w:right w:val="single" w:color="000000" w:sz="4" w:space="0"/>
            </w:tcBorders>
            <w:noWrap w:val="0"/>
            <w:vAlign w:val="center"/>
          </w:tcPr>
          <w:p w14:paraId="17538A36">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宋体"/>
                <w:b w:val="0"/>
                <w:kern w:val="2"/>
                <w:sz w:val="21"/>
                <w:szCs w:val="21"/>
                <w:highlight w:val="yellow"/>
                <w:lang w:val="en-US" w:eastAsia="zh-CN" w:bidi="ar"/>
              </w:rPr>
            </w:pPr>
            <w:r>
              <w:rPr>
                <w:rFonts w:hint="eastAsia" w:ascii="宋体" w:hAnsi="宋体" w:eastAsia="宋体" w:cs="宋体"/>
                <w:i w:val="0"/>
                <w:iCs w:val="0"/>
                <w:caps w:val="0"/>
                <w:spacing w:val="0"/>
                <w:sz w:val="21"/>
                <w:szCs w:val="21"/>
                <w:highlight w:val="yellow"/>
                <w:shd w:val="clear"/>
                <w:lang w:bidi="ar"/>
              </w:rPr>
              <w:t>针对服务需求“分项安全诊断”中的“②安全培训服务”，在满足每年至少提供1次安全培训服务的基础上，投标人承诺每年额外增加培训次数且增加次数不少于1次（即每年培训总次数不少于2次）的，得3分。</w:t>
            </w:r>
          </w:p>
        </w:tc>
        <w:tc>
          <w:tcPr>
            <w:tcW w:w="2264" w:type="dxa"/>
            <w:tcBorders>
              <w:top w:val="single" w:color="000000" w:sz="4" w:space="0"/>
              <w:left w:val="nil"/>
              <w:bottom w:val="single" w:color="000000" w:sz="4" w:space="0"/>
              <w:right w:val="single" w:color="000000" w:sz="4" w:space="0"/>
            </w:tcBorders>
            <w:noWrap w:val="0"/>
            <w:vAlign w:val="center"/>
          </w:tcPr>
          <w:p w14:paraId="4321550B">
            <w:pPr>
              <w:keepNext w:val="0"/>
              <w:keepLines w:val="0"/>
              <w:widowControl w:val="0"/>
              <w:suppressLineNumbers w:val="0"/>
              <w:autoSpaceDE w:val="0"/>
              <w:autoSpaceDN/>
              <w:spacing w:before="0" w:beforeAutospacing="0" w:after="0" w:afterAutospacing="0"/>
              <w:ind w:left="0" w:leftChars="0" w:right="0" w:firstLine="0" w:firstLineChars="0"/>
              <w:jc w:val="both"/>
              <w:rPr>
                <w:rFonts w:hint="default" w:ascii="宋体" w:hAnsi="宋体" w:eastAsia="宋体" w:cs="宋体"/>
                <w:b w:val="0"/>
                <w:kern w:val="2"/>
                <w:sz w:val="21"/>
                <w:szCs w:val="21"/>
                <w:highlight w:val="yellow"/>
                <w:lang w:val="en-US" w:eastAsia="zh-CN" w:bidi="ar"/>
              </w:rPr>
            </w:pPr>
            <w:r>
              <w:rPr>
                <w:rFonts w:hint="eastAsia" w:ascii="宋体" w:hAnsi="宋体" w:cs="宋体"/>
                <w:b w:val="0"/>
                <w:kern w:val="2"/>
                <w:sz w:val="21"/>
                <w:szCs w:val="21"/>
                <w:highlight w:val="yellow"/>
                <w:lang w:val="en-US" w:eastAsia="zh-CN" w:bidi="ar"/>
              </w:rPr>
              <w:t>提供承诺函并加盖投标人公章</w:t>
            </w:r>
          </w:p>
        </w:tc>
      </w:tr>
      <w:tr w14:paraId="0ACC2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2" w:hRule="atLeast"/>
          <w:jc w:val="center"/>
        </w:trPr>
        <w:tc>
          <w:tcPr>
            <w:tcW w:w="743" w:type="dxa"/>
            <w:vMerge w:val="restart"/>
            <w:tcBorders>
              <w:top w:val="single" w:color="000000" w:sz="4" w:space="0"/>
              <w:left w:val="single" w:color="000000" w:sz="4" w:space="0"/>
              <w:right w:val="single" w:color="000000" w:sz="4" w:space="0"/>
            </w:tcBorders>
            <w:noWrap w:val="0"/>
            <w:vAlign w:val="center"/>
          </w:tcPr>
          <w:p w14:paraId="60DFC820">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val="0"/>
                <w:kern w:val="2"/>
                <w:sz w:val="21"/>
                <w:szCs w:val="21"/>
                <w:lang w:val="en-US" w:eastAsia="zh-CN"/>
              </w:rPr>
            </w:pPr>
            <w:r>
              <w:rPr>
                <w:rFonts w:hint="eastAsia" w:ascii="宋体" w:hAnsi="宋体" w:cs="Times New Roman"/>
                <w:b w:val="0"/>
                <w:kern w:val="2"/>
                <w:sz w:val="21"/>
                <w:szCs w:val="21"/>
                <w:lang w:val="en-US" w:eastAsia="zh-CN"/>
              </w:rPr>
              <w:t>3</w:t>
            </w:r>
          </w:p>
        </w:tc>
        <w:tc>
          <w:tcPr>
            <w:tcW w:w="1597" w:type="dxa"/>
            <w:vMerge w:val="continue"/>
            <w:tcBorders>
              <w:left w:val="nil"/>
              <w:right w:val="single" w:color="000000" w:sz="4" w:space="0"/>
            </w:tcBorders>
            <w:noWrap w:val="0"/>
            <w:vAlign w:val="center"/>
          </w:tcPr>
          <w:p w14:paraId="40F45238">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p>
        </w:tc>
        <w:tc>
          <w:tcPr>
            <w:tcW w:w="1350" w:type="dxa"/>
            <w:tcBorders>
              <w:top w:val="single" w:color="000000" w:sz="4" w:space="0"/>
              <w:left w:val="nil"/>
              <w:right w:val="single" w:color="000000" w:sz="4" w:space="0"/>
            </w:tcBorders>
            <w:noWrap w:val="0"/>
            <w:vAlign w:val="center"/>
          </w:tcPr>
          <w:p w14:paraId="4862C18B">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投标人技术人员能力</w:t>
            </w:r>
          </w:p>
          <w:p w14:paraId="4705D9E3">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cs="宋体"/>
                <w:b w:val="0"/>
                <w:kern w:val="2"/>
                <w:sz w:val="21"/>
                <w:szCs w:val="21"/>
                <w:lang w:val="en-US" w:eastAsia="zh-CN" w:bidi="ar"/>
              </w:rPr>
              <w:t>8</w:t>
            </w:r>
            <w:r>
              <w:rPr>
                <w:rFonts w:hint="eastAsia" w:ascii="宋体" w:hAnsi="宋体" w:eastAsia="宋体" w:cs="宋体"/>
                <w:b w:val="0"/>
                <w:kern w:val="2"/>
                <w:sz w:val="21"/>
                <w:szCs w:val="21"/>
                <w:lang w:val="en-US" w:eastAsia="zh-CN" w:bidi="ar"/>
              </w:rPr>
              <w:t>分</w:t>
            </w:r>
          </w:p>
        </w:tc>
        <w:tc>
          <w:tcPr>
            <w:tcW w:w="3950" w:type="dxa"/>
            <w:tcBorders>
              <w:top w:val="single" w:color="000000" w:sz="4" w:space="0"/>
              <w:left w:val="nil"/>
              <w:right w:val="single" w:color="000000" w:sz="4" w:space="0"/>
            </w:tcBorders>
            <w:noWrap w:val="0"/>
            <w:vAlign w:val="center"/>
          </w:tcPr>
          <w:p w14:paraId="4759FE12">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1.技术团队具有计算机技术与软件专业技术资格（软考）证书的人员按以下标准计分：</w:t>
            </w:r>
          </w:p>
          <w:p w14:paraId="423C4D1D">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（1）具有网络工程师（中级及以上）证书，得</w:t>
            </w:r>
            <w:r>
              <w:rPr>
                <w:rFonts w:hint="eastAsia" w:ascii="宋体" w:hAnsi="宋体" w:cs="宋体"/>
                <w:b w:val="0"/>
                <w:kern w:val="2"/>
                <w:sz w:val="21"/>
                <w:szCs w:val="21"/>
                <w:lang w:val="en-US" w:eastAsia="zh-CN" w:bidi="ar"/>
              </w:rPr>
              <w:t>2</w:t>
            </w:r>
            <w:r>
              <w:rPr>
                <w:rFonts w:hint="eastAsia" w:ascii="宋体" w:hAnsi="宋体" w:eastAsia="宋体" w:cs="宋体"/>
                <w:b w:val="0"/>
                <w:kern w:val="2"/>
                <w:sz w:val="21"/>
                <w:szCs w:val="21"/>
                <w:lang w:val="en-US" w:eastAsia="zh-CN" w:bidi="ar"/>
              </w:rPr>
              <w:t>分；</w:t>
            </w:r>
          </w:p>
          <w:p w14:paraId="5DD97682">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（2）具有信息安全工程师（中级及以上）证书，得</w:t>
            </w:r>
            <w:r>
              <w:rPr>
                <w:rFonts w:hint="eastAsia" w:ascii="宋体" w:hAnsi="宋体" w:cs="宋体"/>
                <w:b w:val="0"/>
                <w:kern w:val="2"/>
                <w:sz w:val="21"/>
                <w:szCs w:val="21"/>
                <w:lang w:val="en-US" w:eastAsia="zh-CN" w:bidi="ar"/>
              </w:rPr>
              <w:t>2</w:t>
            </w:r>
            <w:r>
              <w:rPr>
                <w:rFonts w:hint="eastAsia" w:ascii="宋体" w:hAnsi="宋体" w:eastAsia="宋体" w:cs="Times New Roman"/>
                <w:b w:val="0"/>
                <w:kern w:val="2"/>
                <w:sz w:val="21"/>
                <w:szCs w:val="21"/>
                <w:lang w:val="en-US" w:eastAsia="zh-CN" w:bidi="ar"/>
              </w:rPr>
              <w:t>分；</w:t>
            </w:r>
          </w:p>
          <w:p w14:paraId="55FB2456">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2.技术团队具有中国信息安全测评中心颁发的注册信息安全专业人员（</w:t>
            </w:r>
            <w:r>
              <w:rPr>
                <w:rFonts w:hint="eastAsia" w:ascii="宋体" w:hAnsi="宋体" w:eastAsia="宋体" w:cs="Times New Roman"/>
                <w:b w:val="0"/>
                <w:kern w:val="2"/>
                <w:sz w:val="21"/>
                <w:szCs w:val="21"/>
                <w:lang w:val="en-US" w:eastAsia="zh-CN" w:bidi="ar"/>
              </w:rPr>
              <w:t>CISP）认证证书</w:t>
            </w:r>
            <w:r>
              <w:rPr>
                <w:rFonts w:hint="eastAsia" w:ascii="宋体" w:hAnsi="宋体" w:eastAsia="宋体" w:cs="宋体"/>
                <w:b w:val="0"/>
                <w:kern w:val="2"/>
                <w:sz w:val="21"/>
                <w:szCs w:val="21"/>
                <w:lang w:val="en-US" w:eastAsia="zh-CN" w:bidi="ar"/>
              </w:rPr>
              <w:t>，按以下标准计分：</w:t>
            </w:r>
          </w:p>
          <w:p w14:paraId="44CAD2C7">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（1）具有渗透测试工程师CISP-PTE（同等级别及以上）证书，得</w:t>
            </w:r>
            <w:r>
              <w:rPr>
                <w:rFonts w:hint="eastAsia" w:ascii="宋体" w:hAnsi="宋体" w:cs="宋体"/>
                <w:b w:val="0"/>
                <w:kern w:val="2"/>
                <w:sz w:val="21"/>
                <w:szCs w:val="21"/>
                <w:lang w:val="en-US" w:eastAsia="zh-CN" w:bidi="ar"/>
              </w:rPr>
              <w:t>2</w:t>
            </w:r>
            <w:r>
              <w:rPr>
                <w:rFonts w:hint="eastAsia" w:ascii="宋体" w:hAnsi="宋体" w:eastAsia="宋体" w:cs="宋体"/>
                <w:b w:val="0"/>
                <w:kern w:val="2"/>
                <w:sz w:val="21"/>
                <w:szCs w:val="21"/>
                <w:lang w:val="en-US" w:eastAsia="zh-CN" w:bidi="ar"/>
              </w:rPr>
              <w:t>分；</w:t>
            </w:r>
          </w:p>
          <w:p w14:paraId="2EBC8F76">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（2）具有</w:t>
            </w:r>
            <w:r>
              <w:rPr>
                <w:rFonts w:hint="eastAsia" w:ascii="宋体" w:hAnsi="宋体" w:eastAsia="宋体" w:cs="宋体"/>
                <w:i w:val="0"/>
                <w:iCs w:val="0"/>
                <w:caps w:val="0"/>
                <w:spacing w:val="0"/>
                <w:kern w:val="2"/>
                <w:sz w:val="21"/>
                <w:szCs w:val="21"/>
                <w:shd w:val="clear"/>
                <w:lang w:val="en-US" w:eastAsia="zh-CN" w:bidi="ar"/>
              </w:rPr>
              <w:t>应急响应工程师</w:t>
            </w:r>
            <w:r>
              <w:rPr>
                <w:rFonts w:hint="eastAsia" w:ascii="宋体" w:hAnsi="宋体" w:eastAsia="宋体" w:cs="宋体"/>
                <w:b w:val="0"/>
                <w:kern w:val="2"/>
                <w:sz w:val="21"/>
                <w:szCs w:val="21"/>
                <w:lang w:val="en-US" w:eastAsia="zh-CN" w:bidi="ar"/>
              </w:rPr>
              <w:t>CISP-IRE（同等级别及以上）证书，得</w:t>
            </w:r>
            <w:r>
              <w:rPr>
                <w:rFonts w:hint="eastAsia" w:ascii="宋体" w:hAnsi="宋体" w:cs="宋体"/>
                <w:b w:val="0"/>
                <w:kern w:val="2"/>
                <w:sz w:val="21"/>
                <w:szCs w:val="21"/>
                <w:lang w:val="en-US" w:eastAsia="zh-CN" w:bidi="ar"/>
              </w:rPr>
              <w:t>2</w:t>
            </w:r>
            <w:r>
              <w:rPr>
                <w:rFonts w:hint="eastAsia" w:ascii="宋体" w:hAnsi="宋体" w:eastAsia="宋体" w:cs="宋体"/>
                <w:b w:val="0"/>
                <w:kern w:val="2"/>
                <w:sz w:val="21"/>
                <w:szCs w:val="21"/>
                <w:lang w:val="en-US" w:eastAsia="zh-CN" w:bidi="ar"/>
              </w:rPr>
              <w:t>分；</w:t>
            </w:r>
          </w:p>
        </w:tc>
        <w:tc>
          <w:tcPr>
            <w:tcW w:w="2264" w:type="dxa"/>
            <w:tcBorders>
              <w:top w:val="single" w:color="000000" w:sz="4" w:space="0"/>
              <w:left w:val="nil"/>
              <w:bottom w:val="single" w:color="000000" w:sz="4" w:space="0"/>
              <w:right w:val="single" w:color="000000" w:sz="4" w:space="0"/>
            </w:tcBorders>
            <w:noWrap w:val="0"/>
            <w:vAlign w:val="center"/>
          </w:tcPr>
          <w:p w14:paraId="72BC7ED9">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1.提供人员资质证书复印件并加盖投标人公章。</w:t>
            </w:r>
          </w:p>
          <w:p w14:paraId="5DEF1FF4">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2.相关人员在投标人近3个月社保缴纳证明加盖投标人公章。</w:t>
            </w:r>
          </w:p>
        </w:tc>
      </w:tr>
      <w:tr w14:paraId="60B5E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743" w:type="dxa"/>
            <w:vMerge w:val="continue"/>
            <w:tcBorders>
              <w:left w:val="single" w:color="000000" w:sz="4" w:space="0"/>
              <w:bottom w:val="single" w:color="000000" w:sz="4" w:space="0"/>
              <w:right w:val="single" w:color="000000" w:sz="4" w:space="0"/>
            </w:tcBorders>
            <w:noWrap w:val="0"/>
            <w:vAlign w:val="center"/>
          </w:tcPr>
          <w:p w14:paraId="7A6E5577">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Times New Roman"/>
                <w:b w:val="0"/>
                <w:kern w:val="2"/>
                <w:sz w:val="21"/>
                <w:szCs w:val="21"/>
              </w:rPr>
            </w:pPr>
          </w:p>
        </w:tc>
        <w:tc>
          <w:tcPr>
            <w:tcW w:w="1597" w:type="dxa"/>
            <w:vMerge w:val="continue"/>
            <w:tcBorders>
              <w:left w:val="nil"/>
              <w:bottom w:val="single" w:color="000000" w:sz="4" w:space="0"/>
              <w:right w:val="single" w:color="000000" w:sz="4" w:space="0"/>
            </w:tcBorders>
            <w:noWrap w:val="0"/>
            <w:vAlign w:val="center"/>
          </w:tcPr>
          <w:p w14:paraId="2F5EAC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50" w:type="dxa"/>
            <w:tcBorders>
              <w:top w:val="single" w:color="000000" w:sz="4" w:space="0"/>
              <w:left w:val="nil"/>
              <w:bottom w:val="single" w:color="000000" w:sz="4" w:space="0"/>
              <w:right w:val="single" w:color="000000" w:sz="4" w:space="0"/>
            </w:tcBorders>
            <w:noWrap w:val="0"/>
            <w:vAlign w:val="center"/>
          </w:tcPr>
          <w:p w14:paraId="54D56663">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业绩证明</w:t>
            </w:r>
          </w:p>
          <w:p w14:paraId="66372B72">
            <w:pPr>
              <w:keepNext w:val="0"/>
              <w:keepLines w:val="0"/>
              <w:widowControl w:val="0"/>
              <w:suppressLineNumbers w:val="0"/>
              <w:autoSpaceDE w:val="0"/>
              <w:autoSpaceDN/>
              <w:spacing w:before="0" w:beforeAutospacing="0" w:after="0" w:afterAutospacing="0"/>
              <w:ind w:left="0" w:right="0"/>
              <w:jc w:val="both"/>
              <w:rPr>
                <w:rFonts w:hint="eastAsia" w:ascii="宋体" w:hAnsi="宋体" w:eastAsia="宋体" w:cs="Times New Roman"/>
                <w:b w:val="0"/>
                <w:kern w:val="2"/>
                <w:sz w:val="21"/>
                <w:szCs w:val="21"/>
              </w:rPr>
            </w:pPr>
            <w:r>
              <w:rPr>
                <w:rFonts w:hint="eastAsia" w:ascii="宋体" w:hAnsi="宋体" w:cs="宋体"/>
                <w:b w:val="0"/>
                <w:kern w:val="2"/>
                <w:sz w:val="21"/>
                <w:szCs w:val="21"/>
                <w:lang w:val="en-US" w:eastAsia="zh-CN" w:bidi="ar"/>
              </w:rPr>
              <w:t>4</w:t>
            </w:r>
            <w:r>
              <w:rPr>
                <w:rFonts w:hint="eastAsia" w:ascii="宋体" w:hAnsi="宋体" w:eastAsia="宋体" w:cs="宋体"/>
                <w:b w:val="0"/>
                <w:kern w:val="2"/>
                <w:sz w:val="21"/>
                <w:szCs w:val="21"/>
                <w:lang w:val="en-US" w:eastAsia="zh-CN" w:bidi="ar"/>
              </w:rPr>
              <w:t>分</w:t>
            </w:r>
          </w:p>
        </w:tc>
        <w:tc>
          <w:tcPr>
            <w:tcW w:w="3950" w:type="dxa"/>
            <w:tcBorders>
              <w:top w:val="single" w:color="000000" w:sz="4" w:space="0"/>
              <w:left w:val="nil"/>
              <w:bottom w:val="single" w:color="000000" w:sz="4" w:space="0"/>
              <w:right w:val="single" w:color="000000" w:sz="4" w:space="0"/>
            </w:tcBorders>
            <w:noWrap w:val="0"/>
            <w:vAlign w:val="center"/>
          </w:tcPr>
          <w:p w14:paraId="435D7615">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近三年（自2023年1月1日起至本项目招标公告发布之日止，以合同签订时间为准），投标人提供医疗卫生行业同类项目业绩案例（以合同签订日期为准）：每提供一个类似项目业绩案例，可得</w:t>
            </w:r>
            <w:r>
              <w:rPr>
                <w:rFonts w:hint="eastAsia" w:ascii="宋体" w:hAnsi="宋体" w:cs="宋体"/>
                <w:b w:val="0"/>
                <w:kern w:val="2"/>
                <w:sz w:val="21"/>
                <w:szCs w:val="21"/>
                <w:lang w:val="en-US" w:eastAsia="zh-CN" w:bidi="ar"/>
              </w:rPr>
              <w:t>1</w:t>
            </w:r>
            <w:r>
              <w:rPr>
                <w:rFonts w:hint="eastAsia" w:ascii="宋体" w:hAnsi="宋体" w:eastAsia="宋体" w:cs="宋体"/>
                <w:b w:val="0"/>
                <w:kern w:val="2"/>
                <w:sz w:val="21"/>
                <w:szCs w:val="21"/>
                <w:lang w:val="en-US" w:eastAsia="zh-CN" w:bidi="ar"/>
              </w:rPr>
              <w:t>分，累计最高</w:t>
            </w:r>
            <w:r>
              <w:rPr>
                <w:rFonts w:hint="eastAsia" w:ascii="宋体" w:hAnsi="宋体" w:cs="宋体"/>
                <w:b w:val="0"/>
                <w:kern w:val="2"/>
                <w:sz w:val="21"/>
                <w:szCs w:val="21"/>
                <w:lang w:val="en-US" w:eastAsia="zh-CN" w:bidi="ar"/>
              </w:rPr>
              <w:t>4</w:t>
            </w:r>
            <w:r>
              <w:rPr>
                <w:rFonts w:hint="eastAsia" w:ascii="宋体" w:hAnsi="宋体" w:eastAsia="宋体" w:cs="宋体"/>
                <w:b w:val="0"/>
                <w:kern w:val="2"/>
                <w:sz w:val="21"/>
                <w:szCs w:val="21"/>
                <w:lang w:val="en-US" w:eastAsia="zh-CN" w:bidi="ar"/>
              </w:rPr>
              <w:t>分。</w:t>
            </w:r>
          </w:p>
        </w:tc>
        <w:tc>
          <w:tcPr>
            <w:tcW w:w="2264" w:type="dxa"/>
            <w:tcBorders>
              <w:top w:val="single" w:color="000000" w:sz="4" w:space="0"/>
              <w:left w:val="nil"/>
              <w:bottom w:val="single" w:color="000000" w:sz="4" w:space="0"/>
              <w:right w:val="single" w:color="000000" w:sz="4" w:space="0"/>
            </w:tcBorders>
            <w:noWrap w:val="0"/>
            <w:vAlign w:val="center"/>
          </w:tcPr>
          <w:p w14:paraId="221E5DC2">
            <w:pPr>
              <w:keepNext w:val="0"/>
              <w:keepLines w:val="0"/>
              <w:widowControl w:val="0"/>
              <w:suppressLineNumbers w:val="0"/>
              <w:autoSpaceDE w:val="0"/>
              <w:autoSpaceDN/>
              <w:spacing w:before="0" w:beforeAutospacing="0" w:after="0" w:afterAutospacing="0"/>
              <w:ind w:left="0" w:leftChars="0" w:right="0" w:firstLine="0" w:firstLineChars="0"/>
              <w:jc w:val="both"/>
              <w:rPr>
                <w:rFonts w:hint="eastAsia" w:ascii="宋体" w:hAnsi="宋体" w:eastAsia="宋体" w:cs="Times New Roman"/>
                <w:b w:val="0"/>
                <w:kern w:val="2"/>
                <w:sz w:val="21"/>
                <w:szCs w:val="21"/>
              </w:rPr>
            </w:pPr>
            <w:r>
              <w:rPr>
                <w:rFonts w:hint="eastAsia" w:ascii="宋体" w:hAnsi="宋体" w:eastAsia="宋体" w:cs="宋体"/>
                <w:b w:val="0"/>
                <w:kern w:val="2"/>
                <w:sz w:val="21"/>
                <w:szCs w:val="21"/>
                <w:lang w:val="en-US" w:eastAsia="zh-CN" w:bidi="ar"/>
              </w:rPr>
              <w:t>提供合同复印件并加盖供应商公章。</w:t>
            </w:r>
          </w:p>
        </w:tc>
      </w:tr>
    </w:tbl>
    <w:p w14:paraId="32E92C82">
      <w:pPr>
        <w:snapToGrid w:val="0"/>
        <w:spacing w:line="390" w:lineRule="exact"/>
        <w:ind w:firstLine="482" w:firstLineChars="200"/>
        <w:jc w:val="both"/>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rPr>
        <w:t>.</w:t>
      </w:r>
      <w:r>
        <w:rPr>
          <w:rFonts w:hint="eastAsia" w:ascii="宋体" w:hAnsi="宋体" w:eastAsia="宋体" w:cs="宋体"/>
          <w:b/>
          <w:color w:val="000000"/>
          <w:sz w:val="24"/>
          <w:szCs w:val="24"/>
          <w:lang w:eastAsia="zh-CN"/>
        </w:rPr>
        <w:t>比选流程</w:t>
      </w:r>
      <w:r>
        <w:rPr>
          <w:rFonts w:hint="eastAsia" w:ascii="宋体" w:hAnsi="宋体" w:eastAsia="宋体" w:cs="宋体"/>
          <w:b/>
          <w:color w:val="000000"/>
          <w:sz w:val="24"/>
          <w:szCs w:val="24"/>
        </w:rPr>
        <w:t>：</w:t>
      </w:r>
    </w:p>
    <w:p w14:paraId="6B6FA933">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 资格符合性检查</w:t>
      </w:r>
    </w:p>
    <w:p w14:paraId="55B207D9">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依据法律法规和比选文件的规定，对供应商的资格证明等进行审查，以确定供应商是否具备比选资格。</w:t>
      </w:r>
    </w:p>
    <w:p w14:paraId="788E36A1">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2.对响应文件的有效性、完整性和响应程度检查</w:t>
      </w:r>
    </w:p>
    <w:p w14:paraId="1073053D">
      <w:pPr>
        <w:pageBreakBefore w:val="0"/>
        <w:widowControl w:val="0"/>
        <w:kinsoku/>
        <w:wordWrap/>
        <w:overflowPunct/>
        <w:topLinePunct w:val="0"/>
        <w:autoSpaceDE/>
        <w:autoSpaceDN/>
        <w:bidi w:val="0"/>
        <w:snapToGrid w:val="0"/>
        <w:spacing w:line="240" w:lineRule="auto"/>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依据比选文件的规定，对供应商的响应文件从技术、服务等方面进行审查，以确定供应商是否实质性响应比选文件的要求。</w:t>
      </w:r>
      <w:bookmarkStart w:id="58" w:name="_Toc6214"/>
    </w:p>
    <w:p w14:paraId="78ED175A">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3.若同一合同项（分包）下为单一品目的货物采购比选中，同一品牌同一型号产品有多家供应商参加投标，只能按照一家供应商计算。评审中在其他条件（资格性检查、符合性检查）合格的前提下，选取最终报价最低的供应商进入评审，舍掉其他供应商。</w:t>
      </w:r>
      <w:bookmarkEnd w:id="58"/>
    </w:p>
    <w:p w14:paraId="36B3B4B3">
      <w:pPr>
        <w:snapToGrid w:val="0"/>
        <w:spacing w:line="390" w:lineRule="exact"/>
        <w:ind w:firstLine="482" w:firstLineChars="200"/>
        <w:jc w:val="both"/>
        <w:rPr>
          <w:rFonts w:hint="eastAsia" w:ascii="宋体" w:hAnsi="宋体" w:eastAsia="宋体" w:cs="宋体"/>
          <w:b/>
          <w:color w:val="000000"/>
          <w:sz w:val="24"/>
          <w:szCs w:val="24"/>
        </w:rPr>
      </w:pPr>
      <w:r>
        <w:rPr>
          <w:rFonts w:hint="eastAsia" w:ascii="宋体" w:hAnsi="宋体" w:eastAsia="宋体" w:cs="宋体"/>
          <w:b/>
          <w:color w:val="000000"/>
          <w:sz w:val="24"/>
          <w:szCs w:val="24"/>
        </w:rPr>
        <w:t>4.成交供应商的确定：</w:t>
      </w:r>
    </w:p>
    <w:p w14:paraId="1AEFCC8D">
      <w:pPr>
        <w:snapToGrid w:val="0"/>
        <w:spacing w:line="390" w:lineRule="exact"/>
        <w:ind w:firstLine="480" w:firstLineChars="2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 满足“第三篇 项目服务需求”※号部分；</w:t>
      </w:r>
    </w:p>
    <w:p w14:paraId="5FA5F2A6">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（2） </w:t>
      </w:r>
      <w:r>
        <w:rPr>
          <w:rFonts w:hint="eastAsia" w:ascii="宋体" w:hAnsi="宋体" w:eastAsia="宋体" w:cs="宋体"/>
          <w:color w:val="000000"/>
          <w:sz w:val="24"/>
          <w:szCs w:val="24"/>
          <w:lang w:eastAsia="zh-CN"/>
        </w:rPr>
        <w:t>满足</w:t>
      </w:r>
      <w:r>
        <w:rPr>
          <w:rFonts w:hint="eastAsia" w:ascii="宋体" w:hAnsi="宋体" w:eastAsia="宋体" w:cs="宋体"/>
          <w:color w:val="000000"/>
          <w:sz w:val="24"/>
          <w:szCs w:val="24"/>
        </w:rPr>
        <w:t>“第四篇 项目商务需求”</w:t>
      </w:r>
      <w:r>
        <w:rPr>
          <w:rFonts w:hint="eastAsia" w:ascii="宋体" w:hAnsi="宋体" w:eastAsia="宋体" w:cs="宋体"/>
          <w:color w:val="000000"/>
          <w:sz w:val="24"/>
          <w:szCs w:val="24"/>
          <w:lang w:eastAsia="zh-CN"/>
        </w:rPr>
        <w:t>※号部分</w:t>
      </w:r>
      <w:r>
        <w:rPr>
          <w:rFonts w:hint="eastAsia" w:ascii="宋体" w:hAnsi="宋体" w:eastAsia="宋体" w:cs="宋体"/>
          <w:color w:val="000000"/>
          <w:sz w:val="24"/>
          <w:szCs w:val="24"/>
        </w:rPr>
        <w:t>。</w:t>
      </w:r>
    </w:p>
    <w:p w14:paraId="57D6B130">
      <w:pPr>
        <w:snapToGrid w:val="0"/>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7B958B">
      <w:pPr>
        <w:snapToGrid w:val="0"/>
        <w:spacing w:line="39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（4）评审小组将依照评审办法提出成交候选人</w:t>
      </w:r>
      <w:r>
        <w:rPr>
          <w:rFonts w:hint="eastAsia" w:ascii="宋体" w:hAnsi="宋体" w:eastAsia="宋体" w:cs="宋体"/>
          <w:color w:val="000000"/>
          <w:sz w:val="24"/>
          <w:szCs w:val="24"/>
          <w:lang w:eastAsia="zh-CN"/>
        </w:rPr>
        <w:t>。</w:t>
      </w:r>
    </w:p>
    <w:p w14:paraId="4A70E659">
      <w:pPr>
        <w:snapToGrid w:val="0"/>
        <w:spacing w:line="390" w:lineRule="exact"/>
        <w:ind w:firstLine="402" w:firstLineChars="167"/>
        <w:jc w:val="both"/>
        <w:rPr>
          <w:rFonts w:hint="eastAsia" w:ascii="宋体" w:hAnsi="宋体" w:eastAsia="宋体" w:cs="宋体"/>
          <w:b/>
          <w:color w:val="000000"/>
          <w:sz w:val="24"/>
          <w:szCs w:val="24"/>
        </w:rPr>
      </w:pPr>
      <w:r>
        <w:rPr>
          <w:rFonts w:hint="eastAsia" w:ascii="宋体" w:hAnsi="宋体" w:eastAsia="宋体" w:cs="宋体"/>
          <w:b/>
          <w:color w:val="000000"/>
          <w:sz w:val="24"/>
          <w:szCs w:val="24"/>
        </w:rPr>
        <w:t>5.成交供应商的变更</w:t>
      </w:r>
    </w:p>
    <w:p w14:paraId="2F7ADB9A">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（1）成交供应商拒绝签订采购合同的，</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可以按照评审报告推荐的成交候选人顺序，确定排名下一位的候选人为成交供应商，也可以重新开展采购活动。</w:t>
      </w:r>
    </w:p>
    <w:p w14:paraId="79E094AA">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（2）拒绝签订采购合同的成交供应商不得参加对该项目重新开展的采购活动，列入黑名单，3年内不能参加</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的采购活动。</w:t>
      </w:r>
    </w:p>
    <w:p w14:paraId="3F80741E">
      <w:pPr>
        <w:snapToGrid w:val="0"/>
        <w:spacing w:line="390" w:lineRule="exact"/>
        <w:ind w:firstLine="360" w:firstLineChars="150"/>
        <w:jc w:val="both"/>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b/>
          <w:color w:val="000000"/>
          <w:sz w:val="24"/>
          <w:szCs w:val="24"/>
        </w:rPr>
        <w:t xml:space="preserve"> 采购终止</w:t>
      </w:r>
    </w:p>
    <w:p w14:paraId="02398EDA">
      <w:pPr>
        <w:snapToGrid w:val="0"/>
        <w:spacing w:line="390" w:lineRule="exact"/>
        <w:ind w:firstLine="360" w:firstLineChars="150"/>
        <w:jc w:val="both"/>
        <w:rPr>
          <w:rFonts w:hint="eastAsia" w:ascii="宋体" w:hAnsi="宋体" w:eastAsia="宋体" w:cs="宋体"/>
          <w:color w:val="000000"/>
          <w:sz w:val="24"/>
          <w:szCs w:val="24"/>
        </w:rPr>
      </w:pPr>
      <w:r>
        <w:rPr>
          <w:rFonts w:hint="eastAsia" w:ascii="宋体" w:hAnsi="宋体" w:eastAsia="宋体" w:cs="宋体"/>
          <w:color w:val="000000"/>
          <w:sz w:val="24"/>
          <w:szCs w:val="24"/>
        </w:rPr>
        <w:t>出现下列情形之一的，采购人或者采购代理机构应当终止比选采购活动，发布项目终止公告并说明原因，重新开展采购活动：</w:t>
      </w:r>
    </w:p>
    <w:p w14:paraId="7D898D7B">
      <w:pPr>
        <w:snapToGrid w:val="0"/>
        <w:spacing w:line="390" w:lineRule="exact"/>
        <w:ind w:firstLine="360" w:firstLineChars="150"/>
        <w:jc w:val="both"/>
        <w:rPr>
          <w:rFonts w:hint="eastAsia" w:ascii="宋体" w:hAnsi="宋体" w:eastAsia="宋体" w:cs="宋体"/>
          <w:color w:val="000000"/>
          <w:sz w:val="24"/>
          <w:szCs w:val="24"/>
        </w:rPr>
      </w:pPr>
      <w:r>
        <w:rPr>
          <w:rFonts w:hint="eastAsia" w:ascii="宋体" w:hAnsi="宋体" w:eastAsia="宋体" w:cs="宋体"/>
          <w:color w:val="000000"/>
          <w:sz w:val="24"/>
          <w:szCs w:val="24"/>
        </w:rPr>
        <w:t>（1）因情况变化，不再符合规定的比选</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式适用情形的；</w:t>
      </w:r>
    </w:p>
    <w:p w14:paraId="1DCBD7C1">
      <w:pPr>
        <w:snapToGrid w:val="0"/>
        <w:spacing w:line="390" w:lineRule="exact"/>
        <w:ind w:firstLine="360" w:firstLineChars="150"/>
        <w:jc w:val="both"/>
        <w:rPr>
          <w:rFonts w:hint="eastAsia" w:ascii="宋体" w:hAnsi="宋体" w:eastAsia="宋体" w:cs="宋体"/>
          <w:color w:val="000000"/>
          <w:sz w:val="24"/>
          <w:szCs w:val="24"/>
        </w:rPr>
      </w:pPr>
      <w:r>
        <w:rPr>
          <w:rFonts w:hint="eastAsia" w:ascii="宋体" w:hAnsi="宋体" w:eastAsia="宋体" w:cs="宋体"/>
          <w:color w:val="000000"/>
          <w:sz w:val="24"/>
          <w:szCs w:val="24"/>
        </w:rPr>
        <w:t>（2）出现影响采购公正的违法、违规行为的；</w:t>
      </w:r>
    </w:p>
    <w:p w14:paraId="0D18EB56">
      <w:pPr>
        <w:snapToGrid w:val="0"/>
        <w:spacing w:line="390" w:lineRule="exact"/>
        <w:ind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在采购过程中符合竞争要求的供应商不足3家的，但《</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采购管理办法（试行）》第二十</w:t>
      </w:r>
      <w:r>
        <w:rPr>
          <w:rFonts w:hint="eastAsia" w:ascii="宋体" w:hAnsi="宋体" w:eastAsia="宋体" w:cs="宋体"/>
          <w:color w:val="000000"/>
          <w:sz w:val="24"/>
          <w:szCs w:val="24"/>
          <w:lang w:eastAsia="zh-CN"/>
        </w:rPr>
        <w:t>八</w:t>
      </w:r>
      <w:r>
        <w:rPr>
          <w:rFonts w:hint="eastAsia" w:ascii="宋体" w:hAnsi="宋体" w:eastAsia="宋体" w:cs="宋体"/>
          <w:color w:val="000000"/>
          <w:sz w:val="24"/>
          <w:szCs w:val="24"/>
        </w:rPr>
        <w:t>条第一款（五）规定的情形除外。</w:t>
      </w:r>
    </w:p>
    <w:p w14:paraId="5484FDFD">
      <w:pPr>
        <w:pStyle w:val="3"/>
        <w:rPr>
          <w:rFonts w:hint="eastAsia" w:ascii="宋体" w:hAnsi="宋体" w:eastAsia="宋体" w:cs="宋体"/>
          <w:color w:val="000000"/>
          <w:lang w:val="en-US" w:eastAsia="zh-CN"/>
        </w:rPr>
      </w:pPr>
    </w:p>
    <w:p w14:paraId="0F715906">
      <w:pPr>
        <w:pStyle w:val="5"/>
        <w:spacing w:before="0" w:beforeAutospacing="0"/>
        <w:ind w:firstLine="562" w:firstLineChars="200"/>
        <w:outlineLvl w:val="9"/>
        <w:rPr>
          <w:rFonts w:hint="eastAsia" w:ascii="宋体" w:hAnsi="宋体" w:eastAsia="宋体" w:cs="宋体"/>
          <w:color w:val="000000"/>
        </w:rPr>
      </w:pPr>
      <w:bookmarkStart w:id="59" w:name="_Toc9418"/>
      <w:bookmarkStart w:id="60" w:name="_Toc403569783"/>
      <w:bookmarkStart w:id="61" w:name="_Toc3212"/>
      <w:bookmarkStart w:id="62" w:name="_Toc102227321"/>
      <w:bookmarkStart w:id="63" w:name="_Toc1402"/>
      <w:bookmarkStart w:id="64" w:name="_Toc342913395"/>
      <w:r>
        <w:rPr>
          <w:rFonts w:hint="eastAsia" w:ascii="宋体" w:hAnsi="宋体" w:eastAsia="宋体" w:cs="宋体"/>
          <w:color w:val="000000"/>
        </w:rPr>
        <w:t>七、成交通知</w:t>
      </w:r>
      <w:bookmarkEnd w:id="59"/>
      <w:bookmarkEnd w:id="60"/>
      <w:bookmarkEnd w:id="61"/>
      <w:bookmarkEnd w:id="62"/>
      <w:bookmarkEnd w:id="63"/>
      <w:bookmarkEnd w:id="64"/>
    </w:p>
    <w:p w14:paraId="0A51262A">
      <w:pPr>
        <w:snapToGrid w:val="0"/>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1.成交供应商确定后，</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将在重庆医科大学附属永川</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官网发布成交结果公告，并仅对成交者发出电话通知</w:t>
      </w:r>
      <w:r>
        <w:rPr>
          <w:rFonts w:hint="eastAsia" w:ascii="宋体" w:hAnsi="宋体" w:eastAsia="宋体" w:cs="宋体"/>
          <w:color w:val="000000"/>
          <w:sz w:val="24"/>
          <w:szCs w:val="24"/>
          <w:lang w:eastAsia="zh-CN"/>
        </w:rPr>
        <w:t>。</w:t>
      </w:r>
    </w:p>
    <w:p w14:paraId="1E78E17A">
      <w:pPr>
        <w:keepNext/>
        <w:keepLines/>
        <w:spacing w:line="390" w:lineRule="exact"/>
        <w:ind w:firstLine="360" w:firstLineChars="150"/>
        <w:jc w:val="both"/>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2.接到采购结果通知后30天内必须来</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完善合同相关手续，逾期视为自动放弃供应商资格。</w:t>
      </w:r>
    </w:p>
    <w:p w14:paraId="5B473F72">
      <w:pPr>
        <w:pStyle w:val="5"/>
        <w:spacing w:before="0" w:beforeAutospacing="0"/>
        <w:ind w:firstLine="562" w:firstLineChars="200"/>
        <w:outlineLvl w:val="9"/>
        <w:rPr>
          <w:rFonts w:hint="eastAsia" w:ascii="宋体" w:hAnsi="宋体" w:eastAsia="宋体" w:cs="宋体"/>
          <w:color w:val="000000"/>
        </w:rPr>
      </w:pPr>
      <w:bookmarkStart w:id="65" w:name="_Toc17413"/>
      <w:bookmarkStart w:id="66" w:name="_Toc1014"/>
      <w:bookmarkStart w:id="67" w:name="_Toc1890"/>
      <w:bookmarkStart w:id="68" w:name="_Toc403569784"/>
      <w:r>
        <w:rPr>
          <w:rFonts w:hint="eastAsia" w:ascii="宋体" w:hAnsi="宋体" w:eastAsia="宋体" w:cs="宋体"/>
          <w:color w:val="000000"/>
        </w:rPr>
        <w:t>八、关于质疑和投诉</w:t>
      </w:r>
      <w:bookmarkEnd w:id="65"/>
      <w:bookmarkEnd w:id="66"/>
      <w:bookmarkEnd w:id="67"/>
      <w:bookmarkEnd w:id="68"/>
    </w:p>
    <w:p w14:paraId="27158407">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（一）质疑</w:t>
      </w:r>
    </w:p>
    <w:p w14:paraId="33E064C7">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供应商认为比选文件、采购过程和成交结果使自己的权益收到伤害的，可向采购人或采购代理机构以书面形式提出质疑。</w:t>
      </w:r>
    </w:p>
    <w:p w14:paraId="4FE68FDC">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提出质疑的应当是参与所质疑项目采购活动的供应商。 </w:t>
      </w:r>
    </w:p>
    <w:p w14:paraId="562E38D5">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1、质疑时限、内容</w:t>
      </w:r>
    </w:p>
    <w:p w14:paraId="3F1E01D9">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（1）供应商认为比选文件、采购过程、成交结果使自己的权益受到损害的，可以在知道或者应知其权益受到损害之日起7个工作日内，以书面形式向采购人、采购代理机构提出质疑。</w:t>
      </w:r>
    </w:p>
    <w:p w14:paraId="58A029D4">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（2）供应商提出质疑应当提交质疑函和必要的证明材料，质疑函应当包括下列内容：</w:t>
      </w:r>
    </w:p>
    <w:p w14:paraId="078B8CBA">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①供应商的姓名或者名称、地址、邮编、联系人及联系电话；</w:t>
      </w:r>
    </w:p>
    <w:p w14:paraId="1DE91B78">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②质疑项目的名称、项目编号；</w:t>
      </w:r>
    </w:p>
    <w:p w14:paraId="081F86B0">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③具体、明确的质疑事项和与质疑事项相关的请求；</w:t>
      </w:r>
    </w:p>
    <w:p w14:paraId="7D34910F">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④事实依据；</w:t>
      </w:r>
    </w:p>
    <w:p w14:paraId="6E514EC3">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⑤必要的法律依据；</w:t>
      </w:r>
    </w:p>
    <w:p w14:paraId="35366DDD">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⑥提出质疑的日期；</w:t>
      </w:r>
    </w:p>
    <w:p w14:paraId="403448CD">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⑦营业执照（或事业单位法人证书，或个体工商户营业执照或有效的自然人身份证明、组织机构代码证）复印件；</w:t>
      </w:r>
    </w:p>
    <w:p w14:paraId="0A221256">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⑧法定代表人授权委托书原件、法定代表人身份证复印件和其授权代表的身份证复印件（供应商为自然人的提供自然人身份证复印件）；</w:t>
      </w:r>
    </w:p>
    <w:p w14:paraId="53EE2B8F">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（3）供应商为自然人的，质疑函应当由本人签字；供应商为法人或者其他组织的，质疑函应当由法定代表人、主要负责人，或者其授权代表签字或者盖章，并加盖公章。</w:t>
      </w:r>
    </w:p>
    <w:p w14:paraId="7C9F3657">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2、质疑答复</w:t>
      </w:r>
    </w:p>
    <w:p w14:paraId="575CDADE">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采购人、采购代理机构应当在收到供应商的书面质疑后七个工作日内作出答复，并以书面形式通知质疑供应商和其他有关供应商。</w:t>
      </w:r>
    </w:p>
    <w:p w14:paraId="7AB3CC25">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3、其他</w:t>
      </w:r>
    </w:p>
    <w:p w14:paraId="34E26CA5">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（1）供应商应按照《政府采购质疑和投诉办法》（财政部令第94号）及相关法律法规要求，在法定质疑期内一次性提出针对同一采购程序环节的质疑。</w:t>
      </w:r>
    </w:p>
    <w:p w14:paraId="4A431319">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（2）质疑函范本可在财政部门户网站和中国政府采购网下载。</w:t>
      </w:r>
    </w:p>
    <w:p w14:paraId="2955DA7E">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（三）投诉</w:t>
      </w:r>
    </w:p>
    <w:p w14:paraId="7F5F13F1">
      <w:pPr>
        <w:snapToGrid w:val="0"/>
        <w:spacing w:line="400" w:lineRule="exact"/>
        <w:ind w:firstLine="480" w:firstLineChars="200"/>
        <w:rPr>
          <w:rFonts w:hint="eastAsia" w:ascii="宋体" w:hAnsi="宋体" w:eastAsia="宋体" w:cs="宋体"/>
          <w:color w:val="000000"/>
          <w:sz w:val="24"/>
          <w:szCs w:val="24"/>
        </w:rPr>
      </w:pPr>
      <w:bookmarkStart w:id="69" w:name="_Toc102227322"/>
      <w:bookmarkStart w:id="70" w:name="_Toc342913396"/>
      <w:bookmarkStart w:id="71" w:name="_Toc403569785"/>
      <w:bookmarkStart w:id="72" w:name="_Toc6381"/>
      <w:bookmarkStart w:id="73" w:name="_Toc2959"/>
      <w:r>
        <w:rPr>
          <w:rFonts w:hint="eastAsia" w:ascii="宋体" w:hAnsi="宋体" w:eastAsia="宋体" w:cs="宋体"/>
          <w:color w:val="000000"/>
          <w:sz w:val="24"/>
          <w:szCs w:val="24"/>
        </w:rPr>
        <w:t>供应商对</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的答复不满意，或者</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未在规定时间内答复的，可在答复期满后15个工作日内按有关规定，向院纪检部门投诉。</w:t>
      </w:r>
    </w:p>
    <w:p w14:paraId="3E7C54C6">
      <w:pPr>
        <w:pStyle w:val="5"/>
        <w:spacing w:before="0" w:beforeAutospacing="0"/>
        <w:ind w:firstLine="562" w:firstLineChars="200"/>
        <w:outlineLvl w:val="9"/>
        <w:rPr>
          <w:rFonts w:hint="eastAsia" w:ascii="宋体" w:hAnsi="宋体" w:eastAsia="宋体" w:cs="宋体"/>
          <w:color w:val="000000"/>
          <w:highlight w:val="yellow"/>
        </w:rPr>
      </w:pPr>
      <w:bookmarkStart w:id="74" w:name="_Toc17749"/>
      <w:r>
        <w:rPr>
          <w:rFonts w:hint="eastAsia" w:ascii="宋体" w:hAnsi="宋体" w:eastAsia="宋体" w:cs="宋体"/>
          <w:color w:val="000000"/>
          <w:highlight w:val="yellow"/>
        </w:rPr>
        <w:t xml:space="preserve">九、代理服务费 </w:t>
      </w:r>
    </w:p>
    <w:p w14:paraId="6FC5F537">
      <w:pPr>
        <w:snapToGrid w:val="0"/>
        <w:spacing w:line="400" w:lineRule="exact"/>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lang w:eastAsia="zh-CN"/>
        </w:rPr>
        <w:t>供应商对医</w:t>
      </w:r>
      <w:r>
        <w:rPr>
          <w:rFonts w:hint="eastAsia" w:ascii="宋体" w:hAnsi="宋体" w:eastAsia="宋体" w:cs="宋体"/>
          <w:color w:val="000000"/>
          <w:sz w:val="24"/>
          <w:szCs w:val="24"/>
          <w:highlight w:val="yellow"/>
          <w:lang w:val="en-US" w:eastAsia="zh-CN"/>
        </w:rPr>
        <w:t>代理服务费</w:t>
      </w:r>
      <w:r>
        <w:rPr>
          <w:rFonts w:hint="eastAsia" w:ascii="宋体" w:hAnsi="宋体" w:eastAsia="宋体" w:cs="宋体"/>
          <w:color w:val="000000"/>
          <w:sz w:val="24"/>
          <w:szCs w:val="24"/>
          <w:highlight w:val="yellow"/>
        </w:rPr>
        <w:t>按照</w:t>
      </w:r>
      <w:r>
        <w:rPr>
          <w:rFonts w:hint="eastAsia" w:ascii="宋体" w:hAnsi="宋体" w:eastAsia="宋体" w:cs="宋体"/>
          <w:color w:val="000000"/>
          <w:sz w:val="24"/>
          <w:szCs w:val="24"/>
          <w:highlight w:val="yellow"/>
          <w:lang w:val="en-US" w:eastAsia="zh-CN"/>
        </w:rPr>
        <w:t>以下</w:t>
      </w:r>
      <w:r>
        <w:rPr>
          <w:rFonts w:hint="eastAsia" w:ascii="宋体" w:hAnsi="宋体" w:eastAsia="宋体" w:cs="宋体"/>
          <w:color w:val="000000"/>
          <w:sz w:val="24"/>
          <w:szCs w:val="24"/>
          <w:highlight w:val="yellow"/>
        </w:rPr>
        <w:t>对应</w:t>
      </w:r>
      <w:r>
        <w:rPr>
          <w:rFonts w:hint="eastAsia" w:ascii="宋体" w:hAnsi="宋体" w:eastAsia="宋体" w:cs="宋体"/>
          <w:color w:val="000000"/>
          <w:sz w:val="24"/>
          <w:szCs w:val="24"/>
          <w:highlight w:val="yellow"/>
          <w:lang w:eastAsia="zh-CN"/>
        </w:rPr>
        <w:t>收取</w:t>
      </w:r>
      <w:r>
        <w:rPr>
          <w:rFonts w:hint="eastAsia" w:ascii="宋体" w:hAnsi="宋体" w:eastAsia="宋体" w:cs="宋体"/>
          <w:color w:val="000000"/>
          <w:sz w:val="24"/>
          <w:szCs w:val="24"/>
          <w:highlight w:val="yellow"/>
        </w:rPr>
        <w:t>标准下浮</w:t>
      </w:r>
      <w:r>
        <w:rPr>
          <w:rFonts w:hint="eastAsia" w:ascii="宋体" w:hAnsi="宋体" w:eastAsia="宋体" w:cs="宋体"/>
          <w:b/>
          <w:bCs/>
          <w:color w:val="000000"/>
          <w:sz w:val="24"/>
          <w:szCs w:val="24"/>
          <w:highlight w:val="yellow"/>
          <w:u w:val="single"/>
          <w:lang w:val="en-US" w:eastAsia="zh-CN"/>
        </w:rPr>
        <w:t>40</w:t>
      </w:r>
      <w:r>
        <w:rPr>
          <w:rFonts w:hint="eastAsia" w:ascii="宋体" w:hAnsi="宋体" w:eastAsia="宋体" w:cs="宋体"/>
          <w:b/>
          <w:bCs/>
          <w:color w:val="000000"/>
          <w:sz w:val="24"/>
          <w:szCs w:val="24"/>
          <w:highlight w:val="yellow"/>
          <w:u w:val="single"/>
        </w:rPr>
        <w:t>%</w:t>
      </w:r>
      <w:r>
        <w:rPr>
          <w:rFonts w:hint="eastAsia" w:ascii="宋体" w:hAnsi="宋体" w:eastAsia="宋体" w:cs="宋体"/>
          <w:b w:val="0"/>
          <w:bCs w:val="0"/>
          <w:color w:val="000000"/>
          <w:sz w:val="24"/>
          <w:szCs w:val="24"/>
          <w:highlight w:val="yellow"/>
          <w:u w:val="single"/>
          <w:lang w:val="en-US" w:eastAsia="zh-CN"/>
        </w:rPr>
        <w:t xml:space="preserve"> </w:t>
      </w:r>
      <w:r>
        <w:rPr>
          <w:rFonts w:hint="eastAsia" w:ascii="宋体" w:hAnsi="宋体" w:eastAsia="宋体" w:cs="宋体"/>
          <w:color w:val="000000"/>
          <w:sz w:val="24"/>
          <w:szCs w:val="24"/>
          <w:highlight w:val="yellow"/>
        </w:rPr>
        <w:t>执行</w:t>
      </w:r>
      <w:r>
        <w:rPr>
          <w:rFonts w:hint="eastAsia" w:ascii="宋体" w:hAnsi="宋体" w:eastAsia="宋体" w:cs="宋体"/>
          <w:color w:val="000000"/>
          <w:sz w:val="24"/>
          <w:szCs w:val="24"/>
          <w:highlight w:val="yellow"/>
          <w:lang w:val="en-US" w:eastAsia="zh-CN"/>
        </w:rPr>
        <w:t>，以</w:t>
      </w:r>
      <w:r>
        <w:rPr>
          <w:rFonts w:hint="eastAsia" w:ascii="宋体" w:hAnsi="宋体" w:eastAsia="宋体" w:cs="宋体"/>
          <w:b w:val="0"/>
          <w:bCs w:val="0"/>
          <w:color w:val="000000"/>
          <w:sz w:val="24"/>
          <w:szCs w:val="24"/>
          <w:highlight w:val="yellow"/>
          <w:lang w:val="en-US" w:eastAsia="zh-CN"/>
        </w:rPr>
        <w:t>中标（成交）价</w:t>
      </w:r>
      <w:r>
        <w:rPr>
          <w:rFonts w:hint="eastAsia" w:ascii="宋体" w:hAnsi="宋体" w:eastAsia="宋体" w:cs="宋体"/>
          <w:color w:val="000000"/>
          <w:sz w:val="24"/>
          <w:szCs w:val="24"/>
          <w:highlight w:val="yellow"/>
          <w:lang w:val="en-US" w:eastAsia="zh-CN"/>
        </w:rPr>
        <w:t>为计费基数，采用差额定率累进法并结合代理服务费下浮率进行计算，</w:t>
      </w:r>
      <w:r>
        <w:rPr>
          <w:rFonts w:hint="eastAsia" w:ascii="宋体" w:hAnsi="宋体" w:eastAsia="宋体" w:cs="宋体"/>
          <w:color w:val="000000"/>
          <w:sz w:val="24"/>
          <w:szCs w:val="24"/>
          <w:highlight w:val="yellow"/>
        </w:rPr>
        <w:t>由中标人（成交供应商）领取中标（成交）通知书时一次性支付给</w:t>
      </w:r>
      <w:r>
        <w:rPr>
          <w:rFonts w:hint="eastAsia" w:ascii="宋体" w:hAnsi="宋体" w:eastAsia="宋体" w:cs="宋体"/>
          <w:color w:val="000000"/>
          <w:sz w:val="24"/>
          <w:szCs w:val="24"/>
          <w:highlight w:val="yellow"/>
          <w:lang w:val="en-US" w:eastAsia="zh-CN"/>
        </w:rPr>
        <w:t>招标代理公司</w:t>
      </w:r>
      <w:r>
        <w:rPr>
          <w:rFonts w:hint="eastAsia" w:ascii="宋体" w:hAnsi="宋体" w:eastAsia="宋体" w:cs="宋体"/>
          <w:color w:val="000000"/>
          <w:sz w:val="24"/>
          <w:szCs w:val="24"/>
          <w:highlight w:val="yellow"/>
        </w:rPr>
        <w:t>。</w:t>
      </w:r>
    </w:p>
    <w:p w14:paraId="65ACAE5C">
      <w:pPr>
        <w:snapToGrid w:val="0"/>
        <w:spacing w:line="400" w:lineRule="exact"/>
        <w:ind w:firstLine="482" w:firstLineChars="200"/>
        <w:jc w:val="center"/>
        <w:rPr>
          <w:rFonts w:hint="default" w:ascii="方正仿宋_GBK" w:hAnsi="方正仿宋_GBK" w:eastAsia="方正仿宋_GBK" w:cs="方正仿宋_GBK"/>
          <w:b/>
          <w:bCs/>
          <w:color w:val="auto"/>
          <w:sz w:val="24"/>
          <w:szCs w:val="24"/>
          <w:highlight w:val="yellow"/>
        </w:rPr>
      </w:pPr>
      <w:r>
        <w:rPr>
          <w:rFonts w:hint="default" w:ascii="方正仿宋_GBK" w:hAnsi="方正仿宋_GBK" w:eastAsia="方正仿宋_GBK" w:cs="方正仿宋_GBK"/>
          <w:b/>
          <w:bCs/>
          <w:color w:val="auto"/>
          <w:sz w:val="24"/>
          <w:szCs w:val="24"/>
          <w:highlight w:val="yellow"/>
        </w:rPr>
        <w:t>采购代理服务</w:t>
      </w:r>
      <w:r>
        <w:rPr>
          <w:rFonts w:hint="eastAsia" w:ascii="方正仿宋_GBK" w:hAnsi="方正仿宋_GBK" w:eastAsia="方正仿宋_GBK" w:cs="方正仿宋_GBK"/>
          <w:b/>
          <w:bCs/>
          <w:color w:val="auto"/>
          <w:sz w:val="24"/>
          <w:szCs w:val="24"/>
          <w:highlight w:val="yellow"/>
        </w:rPr>
        <w:t>收取标准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2310"/>
        <w:gridCol w:w="2430"/>
        <w:gridCol w:w="2307"/>
      </w:tblGrid>
      <w:tr w14:paraId="1E7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2150" w:type="dxa"/>
            <w:noWrap w:val="0"/>
            <w:vAlign w:val="top"/>
          </w:tcPr>
          <w:p w14:paraId="2917623C">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lang w:val="en-US" w:eastAsia="zh-CN"/>
              </w:rPr>
            </w:pPr>
            <w:r>
              <w:rPr>
                <w:rFonts w:hint="eastAsia" w:ascii="方正仿宋_GBK" w:hAnsi="方正仿宋_GBK" w:eastAsia="方正仿宋_GBK" w:cs="方正仿宋_GBK"/>
                <w:color w:val="auto"/>
                <w:sz w:val="24"/>
                <w:szCs w:val="24"/>
                <w:highlight w:val="yellow"/>
                <w:lang w:val="en-US" w:eastAsia="zh-CN"/>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-1905</wp:posOffset>
                      </wp:positionV>
                      <wp:extent cx="1071245" cy="1287780"/>
                      <wp:effectExtent l="3810" t="3175" r="10795" b="4445"/>
                      <wp:wrapNone/>
                      <wp:docPr id="5" name="直接箭头连接符 5"/>
                      <wp:cNvGraphicFramePr/>
                      <a:graphic xmlns:a="http://schemas.openxmlformats.org/drawingml/2006/main">
                        <a:graphicData uri="http://schemas.microsoft.com/office/word/2010/wordprocessingShape">
                          <wps:wsp>
                            <wps:cNvCnPr/>
                            <wps:spPr>
                              <a:xfrm>
                                <a:off x="0" y="0"/>
                                <a:ext cx="1071245" cy="128778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4.25pt;margin-top:-0.15pt;height:101.4pt;width:84.35pt;z-index:251660288;mso-width-relative:page;mso-height-relative:page;" filled="f" stroked="t" coordsize="21600,21600" o:gfxdata="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jFwrtcAAAAIAQAADwAAAAAAAAABACAAAAAiAAAA&#10;ZHJzL2Rvd25yZXYueG1sUEsBAhQAFAAAAAgAh07iQMSSDp8IAgAA/AMAAA4AAAAAAAAAAQAgAAAA&#10;JgEAAGRycy9lMm9Eb2MueG1sUEsFBgAAAAAGAAYAWQEAAKAFAAAAAA==&#10;">
                      <v:fill on="f" focussize="0,0"/>
                      <v:stroke color="#000000" joinstyle="round"/>
                      <v:imagedata o:title=""/>
                      <o:lock v:ext="edit" aspectratio="f"/>
                    </v:shape>
                  </w:pict>
                </mc:Fallback>
              </mc:AlternateContent>
            </w:r>
            <w:r>
              <w:rPr>
                <w:rFonts w:hint="eastAsia" w:ascii="方正仿宋_GBK" w:hAnsi="方正仿宋_GBK" w:eastAsia="方正仿宋_GBK" w:cs="方正仿宋_GBK"/>
                <w:color w:val="auto"/>
                <w:sz w:val="24"/>
                <w:szCs w:val="24"/>
                <w:highlight w:val="yellow"/>
                <w:lang w:val="en-US" w:eastAsia="zh-CN"/>
              </w:rPr>
              <w:t xml:space="preserve">      服务类型</w:t>
            </w:r>
          </w:p>
          <w:p w14:paraId="35B9EDB0">
            <w:pPr>
              <w:keepNext w:val="0"/>
              <w:keepLines w:val="0"/>
              <w:suppressLineNumbers w:val="0"/>
              <w:snapToGrid w:val="0"/>
              <w:spacing w:before="0" w:beforeAutospacing="0" w:after="0" w:afterAutospacing="0" w:line="400" w:lineRule="exact"/>
              <w:ind w:left="0" w:right="0"/>
              <w:rPr>
                <w:rFonts w:hint="default" w:ascii="方正仿宋_GBK" w:hAnsi="方正仿宋_GBK" w:eastAsia="方正仿宋_GBK" w:cs="方正仿宋_GBK"/>
                <w:color w:val="auto"/>
                <w:sz w:val="24"/>
                <w:szCs w:val="20"/>
                <w:highlight w:val="yellow"/>
                <w:lang w:val="en-US" w:eastAsia="zh-CN"/>
              </w:rPr>
            </w:pPr>
            <w:r>
              <w:rPr>
                <w:rFonts w:hint="eastAsia" w:ascii="方正仿宋_GBK" w:hAnsi="方正仿宋_GBK" w:eastAsia="方正仿宋_GBK" w:cs="方正仿宋_GBK"/>
                <w:color w:val="auto"/>
                <w:sz w:val="24"/>
                <w:szCs w:val="24"/>
                <w:highlight w:val="yellow"/>
                <w:lang w:val="en-US" w:eastAsia="zh-CN"/>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308610</wp:posOffset>
                      </wp:positionV>
                      <wp:extent cx="1481455" cy="719455"/>
                      <wp:effectExtent l="1905" t="4445" r="2540" b="19050"/>
                      <wp:wrapNone/>
                      <wp:docPr id="6" name="直接箭头连接符 6"/>
                      <wp:cNvGraphicFramePr/>
                      <a:graphic xmlns:a="http://schemas.openxmlformats.org/drawingml/2006/main">
                        <a:graphicData uri="http://schemas.microsoft.com/office/word/2010/wordprocessingShape">
                          <wps:wsp>
                            <wps:cNvCnPr/>
                            <wps:spPr>
                              <a:xfrm>
                                <a:off x="0" y="0"/>
                                <a:ext cx="1481455" cy="7194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85pt;margin-top:24.3pt;height:56.65pt;width:116.65pt;z-index:251659264;mso-width-relative:page;mso-height-relative:page;" filled="f" stroked="t" coordsize="21600,21600" o:gfxdata="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6CAftgAAAAJAQAADwAAAAAAAAABACAAAAAiAAAAZHJz&#10;L2Rvd25yZXYueG1sUEsBAhQAFAAAAAgAh07iQBGMozMEAgAA+wMAAA4AAAAAAAAAAQAgAAAAJwEA&#10;AGRycy9lMm9Eb2MueG1sUEsFBgAAAAAGAAYAWQEAAJ0FAAAAAA==&#10;">
                      <v:fill on="f" focussize="0,0"/>
                      <v:stroke color="#000000" joinstyle="round"/>
                      <v:imagedata o:title=""/>
                      <o:lock v:ext="edit" aspectratio="f"/>
                    </v:shape>
                  </w:pict>
                </mc:Fallback>
              </mc:AlternateContent>
            </w:r>
          </w:p>
          <w:p w14:paraId="748ACFFC">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lang w:val="en-US" w:eastAsia="zh-CN"/>
              </w:rPr>
            </w:pPr>
            <w:r>
              <w:rPr>
                <w:rFonts w:hint="eastAsia" w:ascii="方正仿宋_GBK" w:hAnsi="方正仿宋_GBK" w:eastAsia="方正仿宋_GBK" w:cs="方正仿宋_GBK"/>
                <w:color w:val="auto"/>
                <w:sz w:val="24"/>
                <w:szCs w:val="24"/>
                <w:highlight w:val="yellow"/>
                <w:lang w:val="en-US" w:eastAsia="zh-CN"/>
              </w:rPr>
              <w:t>费率</w:t>
            </w:r>
          </w:p>
          <w:p w14:paraId="006417DF">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lang w:val="en-US" w:eastAsia="zh-CN"/>
              </w:rPr>
            </w:pPr>
          </w:p>
          <w:p w14:paraId="26A6756B">
            <w:pPr>
              <w:keepNext w:val="0"/>
              <w:keepLines w:val="0"/>
              <w:suppressLineNumbers w:val="0"/>
              <w:snapToGrid w:val="0"/>
              <w:spacing w:before="0" w:beforeAutospacing="0" w:after="0" w:afterAutospacing="0" w:line="400" w:lineRule="exact"/>
              <w:ind w:left="0" w:right="0"/>
              <w:rPr>
                <w:rFonts w:hint="default" w:ascii="方正仿宋_GBK" w:hAnsi="方正仿宋_GBK" w:eastAsia="方正仿宋_GBK" w:cs="方正仿宋_GBK"/>
                <w:color w:val="auto"/>
                <w:sz w:val="24"/>
                <w:szCs w:val="20"/>
                <w:highlight w:val="yellow"/>
                <w:lang w:val="en-US" w:eastAsia="zh-CN"/>
              </w:rPr>
            </w:pPr>
            <w:bookmarkStart w:id="75" w:name="_Toc19572"/>
            <w:bookmarkStart w:id="76" w:name="_Toc3648"/>
            <w:bookmarkStart w:id="77" w:name="_Toc795"/>
            <w:bookmarkStart w:id="78" w:name="_Toc29912"/>
            <w:r>
              <w:rPr>
                <w:rFonts w:hint="eastAsia" w:ascii="方正仿宋_GBK" w:hAnsi="方正仿宋_GBK" w:eastAsia="方正仿宋_GBK" w:cs="方正仿宋_GBK"/>
                <w:color w:val="auto"/>
                <w:sz w:val="24"/>
                <w:szCs w:val="24"/>
                <w:highlight w:val="yellow"/>
                <w:lang w:val="en-US" w:eastAsia="zh-CN"/>
              </w:rPr>
              <w:t>计费基数（万元）</w:t>
            </w:r>
            <w:bookmarkEnd w:id="75"/>
            <w:bookmarkEnd w:id="76"/>
            <w:bookmarkEnd w:id="77"/>
            <w:bookmarkEnd w:id="78"/>
          </w:p>
        </w:tc>
        <w:tc>
          <w:tcPr>
            <w:tcW w:w="2310" w:type="dxa"/>
            <w:noWrap w:val="0"/>
            <w:vAlign w:val="center"/>
          </w:tcPr>
          <w:p w14:paraId="3EB04D0C">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lang w:val="en-US" w:eastAsia="zh-CN"/>
              </w:rPr>
            </w:pPr>
            <w:r>
              <w:rPr>
                <w:rFonts w:hint="eastAsia" w:ascii="方正仿宋_GBK" w:hAnsi="方正仿宋_GBK" w:eastAsia="方正仿宋_GBK" w:cs="方正仿宋_GBK"/>
                <w:color w:val="auto"/>
                <w:sz w:val="24"/>
                <w:szCs w:val="24"/>
                <w:highlight w:val="yellow"/>
                <w:lang w:val="en-US" w:eastAsia="zh-CN"/>
              </w:rPr>
              <w:t>货物招标</w:t>
            </w:r>
          </w:p>
        </w:tc>
        <w:tc>
          <w:tcPr>
            <w:tcW w:w="2430" w:type="dxa"/>
            <w:noWrap w:val="0"/>
            <w:vAlign w:val="center"/>
          </w:tcPr>
          <w:p w14:paraId="0668C77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lang w:val="en-US" w:eastAsia="zh-CN"/>
              </w:rPr>
            </w:pPr>
            <w:r>
              <w:rPr>
                <w:rFonts w:hint="eastAsia" w:ascii="方正仿宋_GBK" w:hAnsi="方正仿宋_GBK" w:eastAsia="方正仿宋_GBK" w:cs="方正仿宋_GBK"/>
                <w:color w:val="auto"/>
                <w:sz w:val="24"/>
                <w:szCs w:val="24"/>
                <w:highlight w:val="yellow"/>
              </w:rPr>
              <w:t>服务</w:t>
            </w:r>
            <w:r>
              <w:rPr>
                <w:rFonts w:hint="eastAsia" w:ascii="方正仿宋_GBK" w:hAnsi="方正仿宋_GBK" w:eastAsia="方正仿宋_GBK" w:cs="方正仿宋_GBK"/>
                <w:color w:val="auto"/>
                <w:sz w:val="24"/>
                <w:szCs w:val="24"/>
                <w:highlight w:val="yellow"/>
                <w:lang w:val="en-US" w:eastAsia="zh-CN"/>
              </w:rPr>
              <w:t>招标</w:t>
            </w:r>
          </w:p>
        </w:tc>
        <w:tc>
          <w:tcPr>
            <w:tcW w:w="2307" w:type="dxa"/>
            <w:noWrap w:val="0"/>
            <w:vAlign w:val="center"/>
          </w:tcPr>
          <w:p w14:paraId="6CFD4D86">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lang w:val="en-US" w:eastAsia="zh-CN"/>
              </w:rPr>
            </w:pPr>
            <w:r>
              <w:rPr>
                <w:rFonts w:hint="eastAsia" w:ascii="方正仿宋_GBK" w:hAnsi="方正仿宋_GBK" w:eastAsia="方正仿宋_GBK" w:cs="方正仿宋_GBK"/>
                <w:color w:val="auto"/>
                <w:sz w:val="24"/>
                <w:szCs w:val="24"/>
                <w:highlight w:val="yellow"/>
              </w:rPr>
              <w:t>工程</w:t>
            </w:r>
            <w:r>
              <w:rPr>
                <w:rFonts w:hint="eastAsia" w:ascii="方正仿宋_GBK" w:hAnsi="方正仿宋_GBK" w:eastAsia="方正仿宋_GBK" w:cs="方正仿宋_GBK"/>
                <w:color w:val="auto"/>
                <w:sz w:val="24"/>
                <w:szCs w:val="24"/>
                <w:highlight w:val="yellow"/>
                <w:lang w:val="en-US" w:eastAsia="zh-CN"/>
              </w:rPr>
              <w:t>招标</w:t>
            </w:r>
          </w:p>
        </w:tc>
      </w:tr>
      <w:tr w14:paraId="495C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41271A0">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100以下</w:t>
            </w:r>
          </w:p>
        </w:tc>
        <w:tc>
          <w:tcPr>
            <w:tcW w:w="2310" w:type="dxa"/>
            <w:noWrap w:val="0"/>
            <w:vAlign w:val="center"/>
          </w:tcPr>
          <w:p w14:paraId="5D4CFD3C">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1.5%</w:t>
            </w:r>
          </w:p>
        </w:tc>
        <w:tc>
          <w:tcPr>
            <w:tcW w:w="2430" w:type="dxa"/>
            <w:noWrap w:val="0"/>
            <w:vAlign w:val="center"/>
          </w:tcPr>
          <w:p w14:paraId="375DD1A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1.5%</w:t>
            </w:r>
          </w:p>
        </w:tc>
        <w:tc>
          <w:tcPr>
            <w:tcW w:w="2307" w:type="dxa"/>
            <w:noWrap w:val="0"/>
            <w:vAlign w:val="center"/>
          </w:tcPr>
          <w:p w14:paraId="6A486DD8">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w:t>
            </w:r>
          </w:p>
        </w:tc>
      </w:tr>
      <w:tr w14:paraId="7FF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3C171973">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100-500</w:t>
            </w:r>
          </w:p>
        </w:tc>
        <w:tc>
          <w:tcPr>
            <w:tcW w:w="2310" w:type="dxa"/>
            <w:noWrap w:val="0"/>
            <w:vAlign w:val="center"/>
          </w:tcPr>
          <w:p w14:paraId="4F11433F">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1.1%</w:t>
            </w:r>
          </w:p>
        </w:tc>
        <w:tc>
          <w:tcPr>
            <w:tcW w:w="2430" w:type="dxa"/>
            <w:noWrap w:val="0"/>
            <w:vAlign w:val="center"/>
          </w:tcPr>
          <w:p w14:paraId="2A3A9F8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0.8%</w:t>
            </w:r>
          </w:p>
        </w:tc>
        <w:tc>
          <w:tcPr>
            <w:tcW w:w="2307" w:type="dxa"/>
            <w:noWrap w:val="0"/>
            <w:vAlign w:val="center"/>
          </w:tcPr>
          <w:p w14:paraId="69806F6E">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0.7%</w:t>
            </w:r>
          </w:p>
        </w:tc>
      </w:tr>
      <w:tr w14:paraId="24B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7CAE21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500-1000</w:t>
            </w:r>
          </w:p>
        </w:tc>
        <w:tc>
          <w:tcPr>
            <w:tcW w:w="2310" w:type="dxa"/>
            <w:noWrap w:val="0"/>
            <w:vAlign w:val="center"/>
          </w:tcPr>
          <w:p w14:paraId="546E5265">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0.8%</w:t>
            </w:r>
          </w:p>
        </w:tc>
        <w:tc>
          <w:tcPr>
            <w:tcW w:w="2430" w:type="dxa"/>
            <w:noWrap w:val="0"/>
            <w:vAlign w:val="center"/>
          </w:tcPr>
          <w:p w14:paraId="1E9CF138">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0.45%</w:t>
            </w:r>
          </w:p>
        </w:tc>
        <w:tc>
          <w:tcPr>
            <w:tcW w:w="2307" w:type="dxa"/>
            <w:noWrap w:val="0"/>
            <w:vAlign w:val="center"/>
          </w:tcPr>
          <w:p w14:paraId="2DA6C921">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0.55%</w:t>
            </w:r>
          </w:p>
        </w:tc>
      </w:tr>
      <w:tr w14:paraId="16D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70F5EDC5">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1000-5000</w:t>
            </w:r>
          </w:p>
        </w:tc>
        <w:tc>
          <w:tcPr>
            <w:tcW w:w="2310" w:type="dxa"/>
            <w:noWrap w:val="0"/>
            <w:vAlign w:val="center"/>
          </w:tcPr>
          <w:p w14:paraId="1050D4F4">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0.5%</w:t>
            </w:r>
          </w:p>
        </w:tc>
        <w:tc>
          <w:tcPr>
            <w:tcW w:w="2430" w:type="dxa"/>
            <w:noWrap w:val="0"/>
            <w:vAlign w:val="center"/>
          </w:tcPr>
          <w:p w14:paraId="0E38C955">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0.25%</w:t>
            </w:r>
          </w:p>
        </w:tc>
        <w:tc>
          <w:tcPr>
            <w:tcW w:w="2307" w:type="dxa"/>
            <w:noWrap w:val="0"/>
            <w:vAlign w:val="center"/>
          </w:tcPr>
          <w:p w14:paraId="2459A655">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0.35%</w:t>
            </w:r>
          </w:p>
        </w:tc>
      </w:tr>
      <w:tr w14:paraId="7E0C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39424E55">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5000-10000</w:t>
            </w:r>
          </w:p>
        </w:tc>
        <w:tc>
          <w:tcPr>
            <w:tcW w:w="2310" w:type="dxa"/>
            <w:noWrap w:val="0"/>
            <w:vAlign w:val="center"/>
          </w:tcPr>
          <w:p w14:paraId="20504372">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0.25%</w:t>
            </w:r>
          </w:p>
        </w:tc>
        <w:tc>
          <w:tcPr>
            <w:tcW w:w="2430" w:type="dxa"/>
            <w:noWrap w:val="0"/>
            <w:vAlign w:val="center"/>
          </w:tcPr>
          <w:p w14:paraId="0BD268A6">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0.1%</w:t>
            </w:r>
          </w:p>
        </w:tc>
        <w:tc>
          <w:tcPr>
            <w:tcW w:w="2307" w:type="dxa"/>
            <w:noWrap w:val="0"/>
            <w:vAlign w:val="center"/>
          </w:tcPr>
          <w:p w14:paraId="65D74C0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0.2%</w:t>
            </w:r>
          </w:p>
        </w:tc>
      </w:tr>
      <w:tr w14:paraId="408E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7CD337C6">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10000-50000</w:t>
            </w:r>
          </w:p>
        </w:tc>
        <w:tc>
          <w:tcPr>
            <w:tcW w:w="2310" w:type="dxa"/>
            <w:noWrap w:val="0"/>
            <w:vAlign w:val="center"/>
          </w:tcPr>
          <w:p w14:paraId="4918D854">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0.05%</w:t>
            </w:r>
          </w:p>
        </w:tc>
        <w:tc>
          <w:tcPr>
            <w:tcW w:w="2430" w:type="dxa"/>
            <w:noWrap w:val="0"/>
            <w:vAlign w:val="center"/>
          </w:tcPr>
          <w:p w14:paraId="4724DB92">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0.05%</w:t>
            </w:r>
          </w:p>
        </w:tc>
        <w:tc>
          <w:tcPr>
            <w:tcW w:w="2307" w:type="dxa"/>
            <w:noWrap w:val="0"/>
            <w:vAlign w:val="center"/>
          </w:tcPr>
          <w:p w14:paraId="09066C54">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0.05%</w:t>
            </w:r>
          </w:p>
        </w:tc>
      </w:tr>
      <w:tr w14:paraId="737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3EAD8E8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50000-100000</w:t>
            </w:r>
          </w:p>
        </w:tc>
        <w:tc>
          <w:tcPr>
            <w:tcW w:w="2310" w:type="dxa"/>
            <w:noWrap w:val="0"/>
            <w:vAlign w:val="center"/>
          </w:tcPr>
          <w:p w14:paraId="0C094B66">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0.035%</w:t>
            </w:r>
          </w:p>
        </w:tc>
        <w:tc>
          <w:tcPr>
            <w:tcW w:w="2430" w:type="dxa"/>
            <w:noWrap w:val="0"/>
            <w:vAlign w:val="center"/>
          </w:tcPr>
          <w:p w14:paraId="22AFB266">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0.035%</w:t>
            </w:r>
          </w:p>
        </w:tc>
        <w:tc>
          <w:tcPr>
            <w:tcW w:w="2307" w:type="dxa"/>
            <w:noWrap w:val="0"/>
            <w:vAlign w:val="center"/>
          </w:tcPr>
          <w:p w14:paraId="3228D715">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0.035%</w:t>
            </w:r>
          </w:p>
        </w:tc>
      </w:tr>
      <w:tr w14:paraId="3730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0C1B62E">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100000-500000</w:t>
            </w:r>
          </w:p>
        </w:tc>
        <w:tc>
          <w:tcPr>
            <w:tcW w:w="2310" w:type="dxa"/>
            <w:noWrap w:val="0"/>
            <w:vAlign w:val="center"/>
          </w:tcPr>
          <w:p w14:paraId="1ED9496F">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0.008%</w:t>
            </w:r>
          </w:p>
        </w:tc>
        <w:tc>
          <w:tcPr>
            <w:tcW w:w="2430" w:type="dxa"/>
            <w:noWrap w:val="0"/>
            <w:vAlign w:val="center"/>
          </w:tcPr>
          <w:p w14:paraId="7B6D00E1">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0.008%</w:t>
            </w:r>
          </w:p>
        </w:tc>
        <w:tc>
          <w:tcPr>
            <w:tcW w:w="2307" w:type="dxa"/>
            <w:noWrap w:val="0"/>
            <w:vAlign w:val="center"/>
          </w:tcPr>
          <w:p w14:paraId="449CB4BC">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0.008%</w:t>
            </w:r>
          </w:p>
        </w:tc>
      </w:tr>
      <w:tr w14:paraId="1AE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1B64AF57">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500000-1000000</w:t>
            </w:r>
          </w:p>
        </w:tc>
        <w:tc>
          <w:tcPr>
            <w:tcW w:w="2310" w:type="dxa"/>
            <w:noWrap w:val="0"/>
            <w:vAlign w:val="center"/>
          </w:tcPr>
          <w:p w14:paraId="53FC50CE">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0.006%</w:t>
            </w:r>
          </w:p>
        </w:tc>
        <w:tc>
          <w:tcPr>
            <w:tcW w:w="2430" w:type="dxa"/>
            <w:noWrap w:val="0"/>
            <w:vAlign w:val="center"/>
          </w:tcPr>
          <w:p w14:paraId="188806E9">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0.006%</w:t>
            </w:r>
          </w:p>
        </w:tc>
        <w:tc>
          <w:tcPr>
            <w:tcW w:w="2307" w:type="dxa"/>
            <w:noWrap w:val="0"/>
            <w:vAlign w:val="center"/>
          </w:tcPr>
          <w:p w14:paraId="799A708D">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0.006%</w:t>
            </w:r>
          </w:p>
        </w:tc>
      </w:tr>
      <w:tr w14:paraId="3A19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C8FF6CC">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1000000以上</w:t>
            </w:r>
          </w:p>
        </w:tc>
        <w:tc>
          <w:tcPr>
            <w:tcW w:w="2310" w:type="dxa"/>
            <w:noWrap w:val="0"/>
            <w:vAlign w:val="center"/>
          </w:tcPr>
          <w:p w14:paraId="7D6CD1D7">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0.004%</w:t>
            </w:r>
          </w:p>
        </w:tc>
        <w:tc>
          <w:tcPr>
            <w:tcW w:w="2430" w:type="dxa"/>
            <w:noWrap w:val="0"/>
            <w:vAlign w:val="center"/>
          </w:tcPr>
          <w:p w14:paraId="409BC841">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0.004%</w:t>
            </w:r>
          </w:p>
        </w:tc>
        <w:tc>
          <w:tcPr>
            <w:tcW w:w="2307" w:type="dxa"/>
            <w:noWrap w:val="0"/>
            <w:vAlign w:val="center"/>
          </w:tcPr>
          <w:p w14:paraId="6B99159E">
            <w:pPr>
              <w:keepNext w:val="0"/>
              <w:keepLines w:val="0"/>
              <w:suppressLineNumbers w:val="0"/>
              <w:snapToGrid w:val="0"/>
              <w:spacing w:before="0" w:beforeAutospacing="0" w:after="0" w:afterAutospacing="0" w:line="400" w:lineRule="exact"/>
              <w:ind w:left="0" w:right="0" w:firstLine="480" w:firstLineChars="200"/>
              <w:rPr>
                <w:rFonts w:hint="default" w:ascii="方正仿宋_GBK" w:hAnsi="方正仿宋_GBK" w:eastAsia="方正仿宋_GBK" w:cs="方正仿宋_GBK"/>
                <w:color w:val="auto"/>
                <w:sz w:val="24"/>
                <w:szCs w:val="20"/>
                <w:highlight w:val="yellow"/>
              </w:rPr>
            </w:pPr>
            <w:r>
              <w:rPr>
                <w:rFonts w:hint="eastAsia" w:ascii="方正仿宋_GBK" w:hAnsi="方正仿宋_GBK" w:eastAsia="方正仿宋_GBK" w:cs="方正仿宋_GBK"/>
                <w:color w:val="auto"/>
                <w:sz w:val="24"/>
                <w:szCs w:val="24"/>
                <w:highlight w:val="yellow"/>
              </w:rPr>
              <w:t>0.004%</w:t>
            </w:r>
          </w:p>
        </w:tc>
      </w:tr>
    </w:tbl>
    <w:p w14:paraId="41786997">
      <w:pPr>
        <w:pStyle w:val="5"/>
        <w:spacing w:before="0" w:beforeAutospacing="0"/>
        <w:ind w:firstLine="480" w:firstLineChars="200"/>
        <w:outlineLvl w:val="9"/>
        <w:rPr>
          <w:rFonts w:hint="eastAsia" w:ascii="宋体" w:hAnsi="宋体" w:cs="宋体"/>
          <w:b w:val="0"/>
          <w:color w:val="000000"/>
          <w:sz w:val="24"/>
          <w:szCs w:val="24"/>
          <w:lang w:eastAsia="zh-CN"/>
        </w:rPr>
      </w:pPr>
    </w:p>
    <w:p w14:paraId="26D97D73">
      <w:pPr>
        <w:pStyle w:val="5"/>
        <w:spacing w:before="0" w:beforeAutospacing="0"/>
        <w:ind w:firstLine="562" w:firstLineChars="200"/>
        <w:outlineLvl w:val="9"/>
        <w:rPr>
          <w:rFonts w:hint="eastAsia" w:ascii="宋体" w:hAnsi="宋体" w:eastAsia="宋体" w:cs="宋体"/>
          <w:color w:val="000000"/>
        </w:rPr>
      </w:pPr>
      <w:r>
        <w:rPr>
          <w:rFonts w:hint="eastAsia" w:ascii="宋体" w:hAnsi="宋体" w:cs="宋体"/>
          <w:color w:val="000000"/>
          <w:lang w:eastAsia="zh-CN"/>
        </w:rPr>
        <w:t>十、</w:t>
      </w:r>
      <w:r>
        <w:rPr>
          <w:rFonts w:hint="eastAsia" w:ascii="宋体" w:hAnsi="宋体" w:eastAsia="宋体" w:cs="宋体"/>
          <w:color w:val="000000"/>
        </w:rPr>
        <w:t>签订</w:t>
      </w:r>
      <w:bookmarkEnd w:id="69"/>
      <w:r>
        <w:rPr>
          <w:rFonts w:hint="eastAsia" w:ascii="宋体" w:hAnsi="宋体" w:eastAsia="宋体" w:cs="宋体"/>
          <w:color w:val="000000"/>
        </w:rPr>
        <w:t>合同</w:t>
      </w:r>
      <w:bookmarkEnd w:id="70"/>
      <w:bookmarkEnd w:id="71"/>
      <w:bookmarkEnd w:id="72"/>
      <w:bookmarkEnd w:id="73"/>
      <w:bookmarkEnd w:id="74"/>
    </w:p>
    <w:p w14:paraId="05F28BC1">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和成交供应商在采购合同中详细约定。</w:t>
      </w:r>
    </w:p>
    <w:p w14:paraId="0674922E">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2、采购文件、成交供应商的响应文件及有效承诺文件等，均为签订合同的依据。</w:t>
      </w:r>
    </w:p>
    <w:p w14:paraId="672498E1">
      <w:p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3、如成交供应商放弃成交项目或在签订合同时擅自改变成交状态的，采购人将按照相关法律法规处理。</w:t>
      </w:r>
      <w:bookmarkStart w:id="79" w:name="_Toc18153"/>
    </w:p>
    <w:p w14:paraId="289CD572">
      <w:pPr>
        <w:spacing w:line="390" w:lineRule="exact"/>
        <w:ind w:firstLine="482" w:firstLineChars="200"/>
        <w:jc w:val="both"/>
        <w:rPr>
          <w:rFonts w:hint="eastAsia" w:ascii="宋体" w:hAnsi="宋体" w:eastAsia="宋体" w:cs="宋体"/>
          <w:color w:val="000000"/>
          <w:sz w:val="24"/>
        </w:rPr>
      </w:pPr>
      <w:r>
        <w:rPr>
          <w:rFonts w:hint="eastAsia" w:ascii="宋体" w:hAnsi="宋体" w:eastAsia="宋体" w:cs="宋体"/>
          <w:b/>
          <w:color w:val="000000"/>
          <w:sz w:val="24"/>
          <w:szCs w:val="24"/>
        </w:rPr>
        <w:t>4、</w:t>
      </w:r>
      <w:r>
        <w:rPr>
          <w:rFonts w:hint="eastAsia" w:ascii="宋体" w:hAnsi="宋体" w:eastAsia="宋体" w:cs="宋体"/>
          <w:b/>
          <w:color w:val="000000"/>
          <w:sz w:val="24"/>
          <w:szCs w:val="24"/>
          <w:lang w:eastAsia="zh-CN"/>
        </w:rPr>
        <w:t>医院</w:t>
      </w:r>
      <w:r>
        <w:rPr>
          <w:rFonts w:hint="eastAsia" w:ascii="宋体" w:hAnsi="宋体" w:eastAsia="宋体" w:cs="宋体"/>
          <w:b/>
          <w:color w:val="000000"/>
          <w:sz w:val="24"/>
          <w:szCs w:val="24"/>
        </w:rPr>
        <w:t>要求成交供应商提供履约保证金的，应当在比选文件中予以约定。成交供应商</w:t>
      </w:r>
      <w:bookmarkEnd w:id="79"/>
    </w:p>
    <w:p w14:paraId="5C668BBE">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履约完毕后，</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根据采购文件规定无息退还其履约保证金。</w:t>
      </w:r>
    </w:p>
    <w:p w14:paraId="06466AE3">
      <w:pPr>
        <w:numPr>
          <w:ilvl w:val="0"/>
          <w:numId w:val="14"/>
        </w:numPr>
        <w:spacing w:line="39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除不可抗力等因素外，成交通知书发出后，采购人改变成交结果，或者成交供应商拒绝签订政府采购合同的，应当承担相应的法律责任。</w:t>
      </w:r>
      <w:bookmarkStart w:id="80" w:name="_Toc8971"/>
      <w:bookmarkStart w:id="81" w:name="_Toc485108784"/>
    </w:p>
    <w:p w14:paraId="2AE25709">
      <w:pPr>
        <w:widowControl w:val="0"/>
        <w:numPr>
          <w:ilvl w:val="0"/>
          <w:numId w:val="0"/>
        </w:numPr>
        <w:spacing w:line="390" w:lineRule="exact"/>
        <w:jc w:val="both"/>
        <w:rPr>
          <w:rFonts w:hint="eastAsia" w:ascii="宋体" w:hAnsi="宋体" w:eastAsia="宋体" w:cs="宋体"/>
          <w:color w:val="000000"/>
          <w:sz w:val="24"/>
          <w:szCs w:val="24"/>
        </w:rPr>
      </w:pPr>
    </w:p>
    <w:p w14:paraId="443129CF">
      <w:pPr>
        <w:widowControl w:val="0"/>
        <w:numPr>
          <w:ilvl w:val="0"/>
          <w:numId w:val="0"/>
        </w:numPr>
        <w:spacing w:line="390" w:lineRule="exact"/>
        <w:jc w:val="both"/>
        <w:rPr>
          <w:rFonts w:hint="eastAsia" w:ascii="宋体" w:hAnsi="宋体" w:eastAsia="宋体" w:cs="宋体"/>
          <w:color w:val="000000"/>
          <w:sz w:val="24"/>
          <w:szCs w:val="24"/>
        </w:rPr>
      </w:pPr>
    </w:p>
    <w:p w14:paraId="24E1C963">
      <w:pPr>
        <w:widowControl w:val="0"/>
        <w:numPr>
          <w:ilvl w:val="0"/>
          <w:numId w:val="0"/>
        </w:numPr>
        <w:spacing w:line="390" w:lineRule="exact"/>
        <w:jc w:val="both"/>
        <w:rPr>
          <w:rFonts w:hint="eastAsia" w:ascii="宋体" w:hAnsi="宋体" w:eastAsia="宋体" w:cs="宋体"/>
          <w:color w:val="000000"/>
          <w:sz w:val="24"/>
          <w:szCs w:val="24"/>
        </w:rPr>
      </w:pPr>
    </w:p>
    <w:p w14:paraId="29A275EA">
      <w:pPr>
        <w:widowControl w:val="0"/>
        <w:numPr>
          <w:ilvl w:val="0"/>
          <w:numId w:val="0"/>
        </w:numPr>
        <w:spacing w:line="390" w:lineRule="exact"/>
        <w:jc w:val="both"/>
        <w:rPr>
          <w:rFonts w:hint="eastAsia" w:ascii="宋体" w:hAnsi="宋体" w:eastAsia="宋体" w:cs="宋体"/>
          <w:color w:val="000000"/>
          <w:sz w:val="24"/>
          <w:szCs w:val="24"/>
        </w:rPr>
      </w:pPr>
    </w:p>
    <w:p w14:paraId="0DE28679">
      <w:pPr>
        <w:widowControl w:val="0"/>
        <w:numPr>
          <w:ilvl w:val="0"/>
          <w:numId w:val="0"/>
        </w:numPr>
        <w:spacing w:line="390" w:lineRule="exact"/>
        <w:jc w:val="both"/>
        <w:rPr>
          <w:rFonts w:hint="eastAsia" w:ascii="宋体" w:hAnsi="宋体" w:eastAsia="宋体" w:cs="宋体"/>
          <w:color w:val="000000"/>
          <w:sz w:val="24"/>
          <w:szCs w:val="24"/>
        </w:rPr>
      </w:pPr>
    </w:p>
    <w:p w14:paraId="2520F4E6">
      <w:pPr>
        <w:widowControl w:val="0"/>
        <w:numPr>
          <w:ilvl w:val="0"/>
          <w:numId w:val="0"/>
        </w:numPr>
        <w:spacing w:line="390" w:lineRule="exact"/>
        <w:jc w:val="both"/>
        <w:rPr>
          <w:rFonts w:hint="eastAsia" w:ascii="宋体" w:hAnsi="宋体" w:eastAsia="宋体" w:cs="宋体"/>
          <w:color w:val="000000"/>
          <w:sz w:val="24"/>
          <w:szCs w:val="24"/>
        </w:rPr>
      </w:pPr>
    </w:p>
    <w:p w14:paraId="18F3BD08">
      <w:pPr>
        <w:widowControl w:val="0"/>
        <w:numPr>
          <w:ilvl w:val="0"/>
          <w:numId w:val="0"/>
        </w:numPr>
        <w:spacing w:line="390" w:lineRule="exact"/>
        <w:jc w:val="both"/>
        <w:rPr>
          <w:rFonts w:hint="eastAsia" w:ascii="宋体" w:hAnsi="宋体" w:eastAsia="宋体" w:cs="宋体"/>
          <w:color w:val="000000"/>
          <w:sz w:val="24"/>
          <w:szCs w:val="24"/>
        </w:rPr>
      </w:pPr>
    </w:p>
    <w:p w14:paraId="18B56D1D">
      <w:pPr>
        <w:widowControl w:val="0"/>
        <w:numPr>
          <w:ilvl w:val="0"/>
          <w:numId w:val="0"/>
        </w:numPr>
        <w:spacing w:line="390" w:lineRule="exact"/>
        <w:jc w:val="both"/>
        <w:rPr>
          <w:rFonts w:hint="eastAsia" w:ascii="宋体" w:hAnsi="宋体" w:eastAsia="宋体" w:cs="宋体"/>
          <w:color w:val="000000"/>
          <w:sz w:val="24"/>
          <w:szCs w:val="24"/>
        </w:rPr>
      </w:pPr>
    </w:p>
    <w:p w14:paraId="2A7592D9">
      <w:pPr>
        <w:widowControl w:val="0"/>
        <w:numPr>
          <w:ilvl w:val="0"/>
          <w:numId w:val="0"/>
        </w:numPr>
        <w:spacing w:line="390" w:lineRule="exact"/>
        <w:jc w:val="both"/>
        <w:rPr>
          <w:rFonts w:hint="eastAsia" w:ascii="宋体" w:hAnsi="宋体" w:eastAsia="宋体" w:cs="宋体"/>
          <w:color w:val="000000"/>
          <w:sz w:val="24"/>
          <w:szCs w:val="24"/>
        </w:rPr>
      </w:pPr>
    </w:p>
    <w:p w14:paraId="2B41C160">
      <w:pPr>
        <w:widowControl w:val="0"/>
        <w:numPr>
          <w:ilvl w:val="0"/>
          <w:numId w:val="0"/>
        </w:numPr>
        <w:spacing w:line="390" w:lineRule="exact"/>
        <w:jc w:val="both"/>
        <w:rPr>
          <w:rFonts w:hint="eastAsia" w:ascii="宋体" w:hAnsi="宋体" w:eastAsia="宋体" w:cs="宋体"/>
          <w:color w:val="000000"/>
          <w:sz w:val="24"/>
          <w:szCs w:val="24"/>
        </w:rPr>
      </w:pPr>
    </w:p>
    <w:p w14:paraId="6E54A6C0">
      <w:pPr>
        <w:widowControl w:val="0"/>
        <w:numPr>
          <w:ilvl w:val="0"/>
          <w:numId w:val="0"/>
        </w:numPr>
        <w:spacing w:line="390" w:lineRule="exact"/>
        <w:jc w:val="both"/>
        <w:rPr>
          <w:rFonts w:hint="eastAsia" w:ascii="宋体" w:hAnsi="宋体" w:eastAsia="宋体" w:cs="宋体"/>
          <w:color w:val="000000"/>
          <w:sz w:val="24"/>
          <w:szCs w:val="24"/>
        </w:rPr>
      </w:pPr>
    </w:p>
    <w:p w14:paraId="0E91597F">
      <w:pPr>
        <w:widowControl w:val="0"/>
        <w:numPr>
          <w:ilvl w:val="0"/>
          <w:numId w:val="0"/>
        </w:numPr>
        <w:spacing w:line="390" w:lineRule="exact"/>
        <w:jc w:val="both"/>
        <w:rPr>
          <w:rFonts w:hint="eastAsia" w:ascii="宋体" w:hAnsi="宋体" w:eastAsia="宋体" w:cs="宋体"/>
          <w:color w:val="000000"/>
          <w:sz w:val="24"/>
          <w:szCs w:val="24"/>
        </w:rPr>
      </w:pPr>
    </w:p>
    <w:p w14:paraId="301E305D">
      <w:pPr>
        <w:widowControl w:val="0"/>
        <w:numPr>
          <w:ilvl w:val="0"/>
          <w:numId w:val="0"/>
        </w:numPr>
        <w:spacing w:line="390" w:lineRule="exact"/>
        <w:jc w:val="both"/>
        <w:rPr>
          <w:rFonts w:hint="eastAsia" w:ascii="宋体" w:hAnsi="宋体" w:eastAsia="宋体" w:cs="宋体"/>
          <w:color w:val="000000"/>
          <w:sz w:val="24"/>
          <w:szCs w:val="24"/>
        </w:rPr>
      </w:pPr>
    </w:p>
    <w:p w14:paraId="4217637E">
      <w:pPr>
        <w:pStyle w:val="4"/>
        <w:numPr>
          <w:ilvl w:val="0"/>
          <w:numId w:val="15"/>
        </w:numPr>
        <w:rPr>
          <w:rFonts w:hint="eastAsia" w:ascii="宋体" w:hAnsi="宋体" w:eastAsia="宋体" w:cs="宋体"/>
          <w:color w:val="000000"/>
        </w:rPr>
      </w:pPr>
      <w:r>
        <w:rPr>
          <w:rFonts w:hint="eastAsia" w:ascii="宋体" w:hAnsi="宋体" w:eastAsia="宋体" w:cs="宋体"/>
          <w:color w:val="000000"/>
        </w:rPr>
        <w:t xml:space="preserve"> </w:t>
      </w:r>
      <w:bookmarkStart w:id="82" w:name="_Toc22731"/>
      <w:bookmarkStart w:id="83" w:name="_Toc27136"/>
      <w:bookmarkStart w:id="84" w:name="_Toc3436"/>
      <w:r>
        <w:rPr>
          <w:rFonts w:hint="eastAsia" w:ascii="宋体" w:hAnsi="宋体" w:eastAsia="宋体" w:cs="宋体"/>
          <w:color w:val="000000"/>
        </w:rPr>
        <w:t>项目服务需求</w:t>
      </w:r>
      <w:bookmarkEnd w:id="80"/>
      <w:bookmarkEnd w:id="81"/>
      <w:bookmarkEnd w:id="82"/>
      <w:bookmarkEnd w:id="83"/>
      <w:bookmarkEnd w:id="84"/>
    </w:p>
    <w:bookmarkEnd w:id="49"/>
    <w:p w14:paraId="7D95E0EE">
      <w:pPr>
        <w:spacing w:line="400" w:lineRule="exact"/>
        <w:ind w:firstLine="480" w:firstLineChars="200"/>
        <w:outlineLvl w:val="2"/>
        <w:rPr>
          <w:rFonts w:hint="eastAsia" w:ascii="宋体" w:hAnsi="宋体" w:cs="宋体"/>
          <w:b w:val="0"/>
          <w:bCs w:val="0"/>
          <w:sz w:val="24"/>
          <w:szCs w:val="28"/>
        </w:rPr>
      </w:pPr>
      <w:bookmarkStart w:id="85" w:name="_Toc65660341"/>
      <w:r>
        <w:rPr>
          <w:rFonts w:hint="eastAsia" w:ascii="宋体" w:hAnsi="宋体" w:cs="宋体"/>
          <w:b w:val="0"/>
          <w:bCs w:val="0"/>
          <w:sz w:val="24"/>
          <w:szCs w:val="28"/>
        </w:rPr>
        <w:t>“※”标注的技术需求为符合性审查中的实质性要求，若不满足按无效投标处理。</w:t>
      </w:r>
    </w:p>
    <w:p w14:paraId="491C232B">
      <w:pPr>
        <w:spacing w:line="400" w:lineRule="exact"/>
        <w:ind w:firstLine="480" w:firstLineChars="200"/>
        <w:outlineLvl w:val="2"/>
        <w:rPr>
          <w:rFonts w:hint="eastAsia" w:ascii="宋体" w:hAnsi="宋体" w:cs="宋体"/>
          <w:b w:val="0"/>
          <w:bCs w:val="0"/>
          <w:sz w:val="24"/>
          <w:szCs w:val="24"/>
        </w:rPr>
      </w:pPr>
      <w:r>
        <w:rPr>
          <w:rFonts w:hint="eastAsia" w:ascii="宋体" w:hAnsi="宋体" w:cs="宋体"/>
          <w:b w:val="0"/>
          <w:bCs w:val="0"/>
          <w:sz w:val="24"/>
          <w:szCs w:val="24"/>
        </w:rPr>
        <w:t>“</w:t>
      </w:r>
      <w:r>
        <w:rPr>
          <w:rFonts w:hint="eastAsia" w:ascii="宋体" w:hAnsi="宋体" w:cs="宋体"/>
          <w:b w:val="0"/>
          <w:bCs w:val="0"/>
          <w:sz w:val="24"/>
          <w:szCs w:val="24"/>
          <w:lang w:val="en-US" w:eastAsia="zh-CN"/>
        </w:rPr>
        <w:t>▲</w:t>
      </w:r>
      <w:r>
        <w:rPr>
          <w:rFonts w:hint="eastAsia" w:ascii="宋体" w:hAnsi="宋体" w:cs="宋体"/>
          <w:b w:val="0"/>
          <w:bCs w:val="0"/>
          <w:sz w:val="24"/>
          <w:szCs w:val="24"/>
        </w:rPr>
        <w:t>”标注的技术需求为重要技术需求，若不满足将按照评标因素中相关规定处理。</w:t>
      </w:r>
    </w:p>
    <w:p w14:paraId="57EFBD31">
      <w:pPr>
        <w:pStyle w:val="5"/>
        <w:spacing w:before="0" w:beforeAutospacing="0"/>
        <w:ind w:firstLine="562" w:firstLineChars="200"/>
        <w:outlineLvl w:val="9"/>
        <w:rPr>
          <w:rFonts w:hint="eastAsia" w:ascii="宋体" w:hAnsi="宋体" w:eastAsia="宋体" w:cs="宋体"/>
          <w:b/>
          <w:color w:val="000000"/>
        </w:rPr>
      </w:pPr>
      <w:r>
        <w:rPr>
          <w:rFonts w:hint="eastAsia" w:ascii="宋体" w:hAnsi="宋体" w:eastAsia="宋体" w:cs="宋体"/>
          <w:b/>
          <w:color w:val="000000"/>
          <w:lang w:eastAsia="zh-CN"/>
        </w:rPr>
        <w:t>一、</w:t>
      </w:r>
      <w:r>
        <w:rPr>
          <w:rFonts w:hint="eastAsia" w:ascii="宋体" w:hAnsi="宋体" w:eastAsia="宋体" w:cs="宋体"/>
          <w:b/>
          <w:color w:val="000000"/>
        </w:rPr>
        <w:t>服务范围、要求及标准</w:t>
      </w:r>
    </w:p>
    <w:p w14:paraId="26F8F464">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（一）信息系统及网络安全服务</w:t>
      </w:r>
    </w:p>
    <w:p w14:paraId="6C4C322D">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本服务覆盖全院信息系统及网络安全领域，投标人须严格遵守国家、行业及卫健系统网络安全相关法律法规、规范标准及上级主管单位管理要求，结合医院信息化建设实际情况，提供专业、合规、可落地、可闭环的信息安全服务，全面保障医院网络、系统、数据及业务安全。</w:t>
      </w:r>
    </w:p>
    <w:p w14:paraId="3433C8E9">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2.该项服务从合同签订日起立即执行。</w:t>
      </w:r>
    </w:p>
    <w:p w14:paraId="0D37E267">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（二）机房软件运维服务</w:t>
      </w:r>
    </w:p>
    <w:p w14:paraId="6127931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本项服务包含全院机房实体服务器操作系统、虚拟化平台、DataCore存储虚拟化网关、超融合平台、配套存储及服务器集群等软硬件运维工作，覆盖系统层、虚拟化层、存储层，实行一体化运维管理。服务商须具备对国产操作系统（如银河麒麟、统信UOS、欧拉等）、国产虚拟化平台及国产超融合架构的运维能力，能够在我院推进信创国产化替代进程中，提供从系统部署、兼容适配到稳定运行的全链条技术支持。</w:t>
      </w:r>
    </w:p>
    <w:p w14:paraId="38E83601">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具体服务内容包含日常监控、故障排查、系统部署、补丁更新、性能优化、定期巡检、现场支撑、版本管理、架构规划及国产化环境适配等工作，全面保障各类系统及平台（含国产与非国产异构环境）的高可用、高稳定、高安全运行。服务方式包含远程技术支持、现场上门服务、季度专项巡检、技术咨询、问题溯源整改、系统部署调试等，所有运维操作严格遵循医院信息安全及运维管理规范，并符合信创环境下的运维要求。</w:t>
      </w:r>
    </w:p>
    <w:p w14:paraId="5AF2FB83">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3.该项服务从2026年1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月</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日开始执行。</w:t>
      </w:r>
    </w:p>
    <w:p w14:paraId="0B8E1435">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（三）机房硬件运维服务</w:t>
      </w:r>
    </w:p>
    <w:p w14:paraId="685856A2">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本项目服务范围覆盖医院全部院区，包括萱花院区、渝西区域应急医院、兴龙湖院区、兴龙湖社区及医疗美容中心。在确保医院现有服务器、网络设备稳定运行的基础上，保障全院所有类型网络正常运行和网络边界安全：</w:t>
      </w:r>
    </w:p>
    <w:p w14:paraId="46BA0BD4">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2.所涉网络类型包括但不限于：医院内网、卫生专网、财政专网、政务外网、银医专线、医保网、互联网、设备网等。</w:t>
      </w:r>
    </w:p>
    <w:p w14:paraId="0CCE030D">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3.针对采购方各院区，提供故障应急响应与根源性解决服务，全面保障业务系统免受网络问题导致的运行缓慢或服务停摆影响；并依据采购方实际需求，定制化制定且部署安全合规、稳定可靠的网络整体策略。</w:t>
      </w:r>
    </w:p>
    <w:p w14:paraId="4B3844CE">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投标人应对采购人实际机房资产及业务开展情况进行摸查，形成《机房资产管理表格》与《网络拓扑图》，具体需明确到设备端口以及IP地址，《机房资产管理表格》与《网络拓扑图》每年半至少更新一次，并提供面向未来网络配置的优化和解决方案。</w:t>
      </w:r>
    </w:p>
    <w:p w14:paraId="26DE9751">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5.提供机房硬件设备的技术维护服务，包括以下设备设施：</w:t>
      </w:r>
    </w:p>
    <w:p w14:paraId="6637A67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①网络交换机，包括但不限于核心交换机、汇聚交换机和接入层交换机等； </w:t>
      </w:r>
    </w:p>
    <w:p w14:paraId="01C31AB5">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②网络路由器；</w:t>
      </w:r>
    </w:p>
    <w:p w14:paraId="5D0FEC80">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③无线网络设备，包括但不限于无线AP、AC控制器等；</w:t>
      </w:r>
    </w:p>
    <w:p w14:paraId="7D73C2E1">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④安全设备，包括但不限于网络防火墙、网络准入设备、网闸等；</w:t>
      </w:r>
    </w:p>
    <w:p w14:paraId="5D512BEB">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⑤服务器。</w:t>
      </w:r>
    </w:p>
    <w:p w14:paraId="144AB3B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6.投标人须无条件协助医院完成上级单位要求的网络接入和网络改造任务。</w:t>
      </w:r>
    </w:p>
    <w:p w14:paraId="0A884552">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7.医院进行机房设备搬迁时，投标人应制定详细的网络搬迁方案，并安排技术人员到现场支持，协助采购人完成全部网络终端的网络配置与线路优化任务。</w:t>
      </w:r>
    </w:p>
    <w:p w14:paraId="4BDC069A">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8.医院组织网络安全应急演练时，投标人须安排技术人员到现场进行网络保障，协助采购人搭建演练网络环境，记录演练过程中的网络状态。</w:t>
      </w:r>
    </w:p>
    <w:p w14:paraId="445EBB43">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9.每月对各院区机房核心设备执行巡检，并输出《机房巡检报告》；每季度对各院区机房核心设备完成配置备份。</w:t>
      </w:r>
    </w:p>
    <w:p w14:paraId="649B5284">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10.该项服务从2026年12月5日开始执行。</w:t>
      </w:r>
    </w:p>
    <w:p w14:paraId="744F41D3">
      <w:pPr>
        <w:pStyle w:val="5"/>
        <w:spacing w:before="0" w:beforeAutospacing="0"/>
        <w:ind w:firstLine="562" w:firstLineChars="200"/>
        <w:outlineLvl w:val="9"/>
        <w:rPr>
          <w:rFonts w:hint="eastAsia" w:ascii="宋体" w:hAnsi="宋体" w:eastAsia="宋体" w:cs="宋体"/>
          <w:b/>
          <w:color w:val="000000"/>
          <w:lang w:val="en-US" w:eastAsia="zh-CN"/>
        </w:rPr>
      </w:pPr>
      <w:r>
        <w:rPr>
          <w:rFonts w:hint="eastAsia" w:ascii="宋体" w:hAnsi="宋体" w:eastAsia="宋体" w:cs="宋体"/>
          <w:b/>
          <w:color w:val="000000"/>
          <w:lang w:val="en-US" w:eastAsia="zh-CN"/>
        </w:rPr>
        <w:t>二、服务需求</w:t>
      </w:r>
    </w:p>
    <w:p w14:paraId="2990836A">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（一）信息系统及网络安全服务</w:t>
      </w:r>
    </w:p>
    <w:p w14:paraId="7F6761E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1.整体安全诊断（按需服务，每年不少于2次）</w:t>
      </w:r>
    </w:p>
    <w:p w14:paraId="19721DBE">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①对医院暴露在互联网的全部资产开展全面安全检查，梳理资产风险点，输出安全分析报告，并提供可落地的安全优化建议、完整整改方案。</w:t>
      </w:r>
    </w:p>
    <w:p w14:paraId="2F935790">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②对院内内部业务系统、服务器、终端等资产开展安全检测，排查安全隐患并出具对应问题解决方案。</w:t>
      </w:r>
    </w:p>
    <w:p w14:paraId="4B72AB53">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③针对全院网络架构、边界设备、链路等开展网络安全脆弱性专项检查，识别薄弱环节并制定针对性防护与处置措施。</w:t>
      </w:r>
    </w:p>
    <w:p w14:paraId="4E597A3D">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④开展全院整体网络安全风险评估，划分风险等级，形成风险评估报告及综合处置方案。</w:t>
      </w:r>
    </w:p>
    <w:p w14:paraId="07BAC3E0">
      <w:pPr>
        <w:snapToGrid w:val="0"/>
        <w:spacing w:line="400" w:lineRule="exact"/>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2.分项安全诊断</w:t>
      </w:r>
    </w:p>
    <w:p w14:paraId="5323BE07">
      <w:pPr>
        <w:snapToGrid w:val="0"/>
        <w:spacing w:line="400" w:lineRule="exact"/>
        <w:ind w:firstLine="420" w:firstLineChars="200"/>
        <w:jc w:val="both"/>
        <w:rPr>
          <w:rFonts w:hint="eastAsia" w:ascii="宋体" w:hAnsi="宋体" w:eastAsia="宋体" w:cs="宋体"/>
          <w:color w:val="000000"/>
          <w:sz w:val="24"/>
          <w:szCs w:val="24"/>
          <w:lang w:val="en-US" w:eastAsia="zh-CN"/>
        </w:rPr>
      </w:pPr>
      <w:r>
        <w:rPr>
          <w:rFonts w:hint="eastAsia"/>
          <w:sz w:val="21"/>
          <w:highlight w:val="yellow"/>
        </w:rPr>
        <w:t>※</w:t>
      </w:r>
      <w:r>
        <w:rPr>
          <w:rFonts w:hint="eastAsia" w:ascii="宋体" w:hAnsi="宋体" w:eastAsia="宋体" w:cs="宋体"/>
          <w:color w:val="000000"/>
          <w:sz w:val="24"/>
          <w:szCs w:val="24"/>
          <w:lang w:val="en-US" w:eastAsia="zh-CN"/>
        </w:rPr>
        <w:t>① 渗透测试服务（每月至少1次）：模拟黑客攻击手段、漏洞探测技术，对目标业务系统、网络设备、主机开展深度渗透测试，定位系统安全薄弱点，按期出具专业《渗透测试报告》，清晰说明风险危害、影响范围及整改建议，并跟进整改进度，配合采购方形成规范的整改报告文件。因本项服务实施风险较高，实施工程师须具备相关专业技术水平，服务实施过程中因投标人自身技术操作不当导致医院业务瘫痪、数据丢失等后果的，由投标人承担全部责任。投标人须在投标文件中提供承诺函（格式自拟），承诺函均须加盖投标人公章，未按要求提供的视为不满足实质性要求。</w:t>
      </w:r>
    </w:p>
    <w:p w14:paraId="6C63C73D">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②安全培训服务（每年至少1次）：面向全院职工开展网络安全意识培训，针对信息中心技术人员开展网络安全专业技能培训，培训完成后出具《安全培训报告》。</w:t>
      </w:r>
    </w:p>
    <w:p w14:paraId="2508A5D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③安全加固服务（按需提供，全年不限次数） 协助我院对存在安全漏洞的硬件设备、软件系统制定整改方案，督促软硬件原厂供应商落实整改，并对整改结果进行核查验收。配合完成信息系统安全加固、安全改造工作，提供全程咨询、技术协助，负责整改后复测，形成安全整改闭环。服务需满足国家、行业及上级主管单位网络安全合规要求，全面提升业务系统防护能力。</w:t>
      </w:r>
    </w:p>
    <w:p w14:paraId="124DA2E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应急响应服务（按需提供，全年不限次数）：提供7×24小时应急技术支撑，当院内信息系统发生网络攻击、病毒入侵、数据泄露、系统宕机等安全事件时，无条件完成事件排查、风险抑制、故障处置，最大限度缩短系统恢复时间。无条件协助医院编制、修订网络安全应急预案，定期配合开展应急演练，优化应急处置流程。</w:t>
      </w:r>
    </w:p>
    <w:p w14:paraId="04BF2F6E">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安全策略优化服务（按需提供，全年不限次数）：负责全院安全设备日常运行状态监控、全网日志审计与分析；完成安全规则库升级、安全策略调优、日志及配置文件定期备份；及时处置设备故障、开展日常维保；定期对防火墙、准入设备、网闸等安全设备策略进行专项优化，保障安全设备功能最大化发挥。</w:t>
      </w:r>
    </w:p>
    <w:p w14:paraId="33F1B84F">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3.威胁检测与主动响应服务</w:t>
      </w:r>
    </w:p>
    <w:p w14:paraId="315AB818">
      <w:pPr>
        <w:snapToGrid w:val="0"/>
        <w:spacing w:line="400" w:lineRule="exact"/>
        <w:ind w:firstLine="420" w:firstLineChars="200"/>
        <w:jc w:val="both"/>
        <w:rPr>
          <w:rFonts w:hint="eastAsia" w:ascii="宋体" w:hAnsi="宋体" w:eastAsia="宋体" w:cs="宋体"/>
          <w:color w:val="000000"/>
          <w:sz w:val="24"/>
          <w:szCs w:val="24"/>
          <w:lang w:val="en-US" w:eastAsia="zh-CN"/>
        </w:rPr>
      </w:pPr>
      <w:r>
        <w:rPr>
          <w:rFonts w:hint="eastAsia"/>
          <w:sz w:val="21"/>
          <w:highlight w:val="yellow"/>
        </w:rPr>
        <w:t>▲</w:t>
      </w:r>
      <w:r>
        <w:rPr>
          <w:rFonts w:hint="eastAsia" w:ascii="宋体" w:hAnsi="宋体" w:eastAsia="宋体" w:cs="宋体"/>
          <w:color w:val="000000"/>
          <w:sz w:val="24"/>
          <w:szCs w:val="24"/>
          <w:lang w:val="en-US" w:eastAsia="zh-CN"/>
        </w:rPr>
        <w:t>①资产授权与安全运营支撑：投标人须在我院现有安全运营中心平台基础上新增5个资产授权，打通态势感知平台、防火墙与云端安全运营平台的数据链路；或提供一套功能性、安全性不低于现有平台的替代安全运营平台及配套服务，并完成与现有设备的对接。两种方式均须支持人机共智模式，围绕资产、漏洞、威胁、安全事件四大维度对全网安全日志与网络流量进行关联分析，依托云端平台及专业安全专家团队对我院不少于10个核心资产提供7×24小时全天候人工安全监测，主动识别、发现、处置网络及主机安全威胁，构建闭环安全运营体系。</w:t>
      </w:r>
    </w:p>
    <w:p w14:paraId="04F55614">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选择现有平台扩容的投标人，须提供平台服务商出具的服务承诺函并加盖公章；选择替代平台的投标人，须提供不低于现有平台功能性、安全性的佐证材料（如功能界面截图、功能对比说明、测评报告等）。未提供证明材料的，视为不满足要求。</w:t>
      </w:r>
    </w:p>
    <w:p w14:paraId="170071C4">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②互联网暴露面梳理：使用专业安全工具常态化探测全院互联网侧资产，梳理外网端口、服务、IP开放情况，及时发现违规外联、非授权暴露资产及相关风险，完成风险处置，实现互联网资产全量管控。</w:t>
      </w:r>
    </w:p>
    <w:p w14:paraId="6052C16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③脆弱性全生命周期管理：针对服务范围内资产发现的高危可利用漏洞，统一提供漏洞修复方案、安全设备防护策略配置方案，安排技术人员协助我院完成防护规则部署，全程跟踪漏洞处置状态。</w:t>
      </w:r>
    </w:p>
    <w:p w14:paraId="1A3880B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④全域威胁管理：依托云端大数据、人工智能分析平台，统一汇聚全院安全设备、安全工具产生的告警信息与日志数据，7×24 小时不间断开展威胁识别、分析、研判，分析结果在管理界面可视化展示。</w:t>
      </w:r>
    </w:p>
    <w:p w14:paraId="41570218">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提供安全运营服务承诺：事件等级按国家及行业规范结合本院预案界定；针对重大事件，确认等级后30分钟内响应、1小时内采取措施遏制影响；针对一般威胁，确认等级后2小时通告、4小时采取措施遏制影响；在非不可抗力及非本院或第三方不可控因素前提下全力保障事件闭环。</w:t>
      </w:r>
    </w:p>
    <w:p w14:paraId="716F9D5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⑥安全策略专项检查：云端安全专家每月对全院安全设备防护策略开展合规性、有效性检查，保障策略配置最优。云端平台须配备专业策略检查工具，全面排查安全设备策略配置缺陷、不合理项。</w:t>
      </w:r>
    </w:p>
    <w:p w14:paraId="7AC7DFC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⑦威胁情报联动处置：结合全网最新威胁情报，主动排查情报对应风险是否影响院内资产，第一时间告知医院运维人员，并协助完成专项安全加固。</w:t>
      </w:r>
    </w:p>
    <w:p w14:paraId="3CCB4BB1">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⑧高危漏洞防护要求：针对服务范围内经双方确认的高危可利用漏洞，投标人应及时提供适配防护规则、防护建议或整改方案，协助院方部署实施，并跟踪验证防护有效性；对无可行防护手段或因院方业务原因无法实施防护的漏洞，应出具专项说明及风险处置建议。</w:t>
      </w:r>
    </w:p>
    <w:p w14:paraId="67E34E4F">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⑨服务值守：服务期内提供全年7×24小时云端安全专家在岗值守，节假日、夜间保障不中断。</w:t>
      </w:r>
    </w:p>
    <w:p w14:paraId="4134BF8A">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⑩</w:t>
      </w:r>
      <w:r>
        <w:rPr>
          <w:rFonts w:hint="eastAsia" w:ascii="宋体" w:hAnsi="宋体" w:eastAsia="宋体" w:cs="宋体"/>
          <w:color w:val="000000"/>
          <w:sz w:val="24"/>
          <w:szCs w:val="24"/>
          <w:lang w:val="en-US" w:eastAsia="zh-CN"/>
        </w:rPr>
        <w:t>成果输出要求：所有报告文档格式由投标人自行规范编制，按需触发类报告出具次数不限，具体交付内容及频次要求如下：</w:t>
      </w:r>
    </w:p>
    <w:tbl>
      <w:tblPr>
        <w:tblStyle w:val="59"/>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9"/>
        <w:gridCol w:w="4367"/>
      </w:tblGrid>
      <w:tr w14:paraId="4005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3F8A57AE">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报告名称</w:t>
            </w:r>
          </w:p>
        </w:tc>
        <w:tc>
          <w:tcPr>
            <w:tcW w:w="4367" w:type="dxa"/>
            <w:noWrap w:val="0"/>
            <w:vAlign w:val="top"/>
          </w:tcPr>
          <w:p w14:paraId="6953B9D8">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交付频次</w:t>
            </w:r>
          </w:p>
        </w:tc>
      </w:tr>
      <w:tr w14:paraId="468B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11E148D5">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《项目启动会 PPT》</w:t>
            </w:r>
          </w:p>
        </w:tc>
        <w:tc>
          <w:tcPr>
            <w:tcW w:w="4367" w:type="dxa"/>
            <w:noWrap w:val="0"/>
            <w:vAlign w:val="top"/>
          </w:tcPr>
          <w:p w14:paraId="1D3CCE3E">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项目初期出具 1 次</w:t>
            </w:r>
          </w:p>
        </w:tc>
      </w:tr>
      <w:tr w14:paraId="7AED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6620F230">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《首次安全威胁分析报告》</w:t>
            </w:r>
          </w:p>
        </w:tc>
        <w:tc>
          <w:tcPr>
            <w:tcW w:w="4367" w:type="dxa"/>
            <w:noWrap w:val="0"/>
            <w:vAlign w:val="top"/>
          </w:tcPr>
          <w:p w14:paraId="275B18A4">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项目初期出具 1 次</w:t>
            </w:r>
          </w:p>
        </w:tc>
      </w:tr>
      <w:tr w14:paraId="4584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07A95DF7">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《漏洞举证报告》《漏洞清单》</w:t>
            </w:r>
          </w:p>
        </w:tc>
        <w:tc>
          <w:tcPr>
            <w:tcW w:w="4367" w:type="dxa"/>
            <w:noWrap w:val="0"/>
            <w:vAlign w:val="top"/>
          </w:tcPr>
          <w:p w14:paraId="0FF048C9">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按需出具，不限次数</w:t>
            </w:r>
          </w:p>
        </w:tc>
      </w:tr>
      <w:tr w14:paraId="3E9A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1BFCD08F">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《应急响应报告》</w:t>
            </w:r>
          </w:p>
        </w:tc>
        <w:tc>
          <w:tcPr>
            <w:tcW w:w="4367" w:type="dxa"/>
            <w:noWrap w:val="0"/>
            <w:vAlign w:val="top"/>
          </w:tcPr>
          <w:p w14:paraId="71C46A1F">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按需出具，不限次数</w:t>
            </w:r>
          </w:p>
        </w:tc>
      </w:tr>
      <w:tr w14:paraId="509F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63518D70">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《事件处置报告》</w:t>
            </w:r>
          </w:p>
        </w:tc>
        <w:tc>
          <w:tcPr>
            <w:tcW w:w="4367" w:type="dxa"/>
            <w:noWrap w:val="0"/>
            <w:vAlign w:val="top"/>
          </w:tcPr>
          <w:p w14:paraId="7C447FFF">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按需出具，不限次数</w:t>
            </w:r>
          </w:p>
        </w:tc>
      </w:tr>
      <w:tr w14:paraId="5DA4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2824A902">
            <w:pPr>
              <w:keepNext w:val="0"/>
              <w:keepLines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《威胁情报推送》</w:t>
            </w:r>
          </w:p>
        </w:tc>
        <w:tc>
          <w:tcPr>
            <w:tcW w:w="4367" w:type="dxa"/>
            <w:noWrap w:val="0"/>
            <w:vAlign w:val="top"/>
          </w:tcPr>
          <w:p w14:paraId="70F058A3">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按需出具，不限次数</w:t>
            </w:r>
          </w:p>
        </w:tc>
      </w:tr>
      <w:tr w14:paraId="7113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68BD010F">
            <w:pPr>
              <w:keepNext w:val="0"/>
              <w:keepLines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《安全运营周报》</w:t>
            </w:r>
          </w:p>
        </w:tc>
        <w:tc>
          <w:tcPr>
            <w:tcW w:w="4367" w:type="dxa"/>
            <w:noWrap w:val="0"/>
            <w:vAlign w:val="top"/>
          </w:tcPr>
          <w:p w14:paraId="25D1E175">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每周1次</w:t>
            </w:r>
          </w:p>
        </w:tc>
      </w:tr>
      <w:tr w14:paraId="3D17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02FDD0AB">
            <w:pPr>
              <w:keepNext w:val="0"/>
              <w:keepLines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《安全运营月报》</w:t>
            </w:r>
          </w:p>
        </w:tc>
        <w:tc>
          <w:tcPr>
            <w:tcW w:w="4367" w:type="dxa"/>
            <w:noWrap w:val="0"/>
            <w:vAlign w:val="top"/>
          </w:tcPr>
          <w:p w14:paraId="52BAF5AB">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每月1次</w:t>
            </w:r>
          </w:p>
        </w:tc>
      </w:tr>
      <w:tr w14:paraId="4488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39" w:type="dxa"/>
            <w:noWrap w:val="0"/>
            <w:vAlign w:val="top"/>
          </w:tcPr>
          <w:p w14:paraId="0E215DCE">
            <w:pPr>
              <w:keepNext w:val="0"/>
              <w:keepLines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《半年度总结汇报》</w:t>
            </w:r>
          </w:p>
        </w:tc>
        <w:tc>
          <w:tcPr>
            <w:tcW w:w="4367" w:type="dxa"/>
            <w:noWrap w:val="0"/>
            <w:vAlign w:val="top"/>
          </w:tcPr>
          <w:p w14:paraId="5556594D">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半年1次</w:t>
            </w:r>
          </w:p>
        </w:tc>
      </w:tr>
      <w:tr w14:paraId="5EF7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9" w:type="dxa"/>
            <w:noWrap w:val="0"/>
            <w:vAlign w:val="top"/>
          </w:tcPr>
          <w:p w14:paraId="046486C3">
            <w:pPr>
              <w:keepNext w:val="0"/>
              <w:keepLines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《年度总结汇报》</w:t>
            </w:r>
          </w:p>
        </w:tc>
        <w:tc>
          <w:tcPr>
            <w:tcW w:w="4367" w:type="dxa"/>
            <w:noWrap w:val="0"/>
            <w:vAlign w:val="top"/>
          </w:tcPr>
          <w:p w14:paraId="21396C4D">
            <w:pPr>
              <w:keepNext w:val="0"/>
              <w:keepLines w:val="0"/>
              <w:suppressLineNumbers w:val="0"/>
              <w:snapToGrid w:val="0"/>
              <w:spacing w:before="0" w:beforeAutospacing="0" w:after="0" w:afterAutospacing="0" w:line="400" w:lineRule="exact"/>
              <w:ind w:left="0" w:right="0"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每年1次</w:t>
            </w:r>
          </w:p>
        </w:tc>
      </w:tr>
    </w:tbl>
    <w:p w14:paraId="1758B9B2">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4.常态化监测服务</w:t>
      </w:r>
    </w:p>
    <w:p w14:paraId="6B587C3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资产指纹探测：资产指纹指信息化资产的软硬件身份特征信息。投标人需每季度对全院信息化资产开展全量指纹探测，识别并采集资产对应的操作系统、中间件、应用软件、设备厂商、软硬件版本、开放服务等特征信息，同步更新安全运营平台资产档案，确保平台内资产数据真实、完整、准确，实现资产可视化、可管控。</w:t>
      </w:r>
    </w:p>
    <w:p w14:paraId="55A8D40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②安全巡检服务：按医院需求对安全防护设备、核心业务系统开展现场及远程巡检，排查异常运行状态、安全告警，及时反馈问题并协助处置，出具《安全巡检报告》，该项服务不限制次数。</w:t>
      </w:r>
    </w:p>
    <w:p w14:paraId="076B8DC4">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③弱口令分析与管理：针对SMB、MSSQL、MySQL、Oracle、SMTP、VNC、FTP、Telnet、SSH、Tomcat 等常见服务及应用开展弱口令检测；结合医疗行业特性使用专属密码字典开展内网定向弱口令排查。检测问题纳入工单管理，全程跟踪整改闭环，每次服务出具《弱口令分析与管理报告》。该项服务每季度不少于1次。</w:t>
      </w:r>
    </w:p>
    <w:p w14:paraId="31190499">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（二）机房软件运维服务</w:t>
      </w:r>
    </w:p>
    <w:p w14:paraId="1CA3ABEF">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1.服务器操作系统专项运维服务</w:t>
      </w:r>
    </w:p>
    <w:p w14:paraId="6CD1ED99">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故障排查与处置：针对服务器操作系统蓝屏、死机、服务异常、网络不通、账户权限故障、文件损坏、系统卡顿、进程异常等问题开展诊断、定位与应急修复；所有故障要求30分钟内远程介入，必要时安排工程师2小时内上门处置，确保在故障发生3小时内完成处置。</w:t>
      </w:r>
    </w:p>
    <w:p w14:paraId="527B9067">
      <w:pPr>
        <w:snapToGrid w:val="0"/>
        <w:spacing w:line="400" w:lineRule="exact"/>
        <w:ind w:firstLine="420" w:firstLineChars="200"/>
        <w:jc w:val="both"/>
        <w:rPr>
          <w:rFonts w:hint="default" w:ascii="宋体" w:hAnsi="宋体" w:eastAsia="宋体" w:cs="宋体"/>
          <w:color w:val="000000"/>
          <w:sz w:val="24"/>
          <w:szCs w:val="24"/>
          <w:lang w:val="en-US" w:eastAsia="zh-CN"/>
        </w:rPr>
      </w:pPr>
      <w:r>
        <w:rPr>
          <w:rFonts w:hint="eastAsia"/>
          <w:sz w:val="21"/>
          <w:highlight w:val="yellow"/>
        </w:rPr>
        <w:t>▲</w:t>
      </w:r>
      <w:r>
        <w:rPr>
          <w:rFonts w:hint="eastAsia" w:ascii="宋体" w:hAnsi="宋体" w:eastAsia="宋体" w:cs="宋体"/>
          <w:color w:val="000000"/>
          <w:sz w:val="24"/>
          <w:szCs w:val="24"/>
          <w:lang w:val="en-US" w:eastAsia="zh-CN"/>
        </w:rPr>
        <w:t>②系统部署与重装服务：根据医院业务需求，提供服务器操作系统安装、重装、环境初始化配置服务；根据医院业务发展及设备更替需求，提供服务器操作系统的安装、重装及环境初始化配置服务。投标人须无条件提供合规国产化操作系统镜像（如银河麒麟、统信UOS、欧拉等）及通用服务器操作系统镜像，上述所有镜像均须包含必要的驱动程序及系统组件，并保证来源合规、无安全后门、版本符合授权要求，满足业务快速上线及老旧设备替换等场景的使用需求。投标人须在投标文件中提供承诺函（格式自拟），承诺内容须包含上述镜像提供及安全保障要求，并加盖投标人公章。</w:t>
      </w:r>
    </w:p>
    <w:p w14:paraId="2F756C8B">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③系统配置与权限管理：协助完成服务器主机名、IP、路由、防火墙策略、账户权限、共享服务、开机自启项等配置调整；定期梳理冗余账号、弱口令、高危权限，配合落实安全加固要求，降低系统安全风险。</w:t>
      </w:r>
    </w:p>
    <w:p w14:paraId="0212F899">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补丁与版本管理：定期梳理操作系统官方安全补丁、功能补丁、版本升级包，开展补丁兼容性评估、风险研判，制定升级实施方案。必要时需按医院要求对机房设备的软件进行版本升级或补丁修复，操作前完成系统全量备份，升级后逐项开展功能、稳定性复测。</w:t>
      </w:r>
    </w:p>
    <w:p w14:paraId="39924191">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w:t>
      </w:r>
      <w:r>
        <w:rPr>
          <w:rFonts w:hint="default" w:ascii="宋体" w:hAnsi="宋体" w:eastAsia="宋体" w:cs="宋体"/>
          <w:color w:val="000000"/>
          <w:sz w:val="24"/>
          <w:szCs w:val="24"/>
          <w:lang w:val="en-US" w:eastAsia="zh-CN"/>
        </w:rPr>
        <w:t>系统备份与恢复</w:t>
      </w:r>
      <w:r>
        <w:rPr>
          <w:rFonts w:hint="eastAsia" w:ascii="宋体" w:hAnsi="宋体" w:eastAsia="宋体" w:cs="宋体"/>
          <w:color w:val="000000"/>
          <w:sz w:val="24"/>
          <w:szCs w:val="24"/>
          <w:lang w:val="en-US" w:eastAsia="zh-CN"/>
        </w:rPr>
        <w:t>：根据医院需求完成指定服务器操作系统分区、关键配置文件、业务运行环境的定期备份；记录备份版本与时间，当系统出现故障时，依托备份文件快速执行回滚恢复操作。</w:t>
      </w:r>
    </w:p>
    <w:p w14:paraId="562F3708">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⑤技术咨询与优化：针对操作系统性能调优、资源分配、环境适配、业务兼容、国产化迁移等需求提供技术方案、现场指导及专业咨询服务。</w:t>
      </w:r>
    </w:p>
    <w:p w14:paraId="285ED813">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2.DataCore存储虚拟化网关专项运维服务</w:t>
      </w:r>
    </w:p>
    <w:p w14:paraId="12D7157C">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①日常运行监控：7×24 小时远程监测存储虚拟化网关硬件状态、服务进程、资源使用率（CPU、内存、磁盘 IO、带宽、缓存）、集群状态、数据读写链路、多副本同步状态，实时预警异常指标。</w:t>
      </w:r>
    </w:p>
    <w:p w14:paraId="22CAEF74">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w:t>
      </w:r>
      <w:r>
        <w:rPr>
          <w:rFonts w:hint="default" w:ascii="宋体" w:hAnsi="宋体" w:eastAsia="宋体" w:cs="宋体"/>
          <w:color w:val="000000"/>
          <w:sz w:val="24"/>
          <w:szCs w:val="24"/>
          <w:lang w:val="en-US" w:eastAsia="zh-CN"/>
        </w:rPr>
        <w:t>故障排查与处置</w:t>
      </w:r>
      <w:r>
        <w:rPr>
          <w:rFonts w:hint="eastAsia" w:ascii="宋体" w:hAnsi="宋体" w:eastAsia="宋体" w:cs="宋体"/>
          <w:color w:val="000000"/>
          <w:sz w:val="24"/>
          <w:szCs w:val="24"/>
          <w:lang w:val="en-US" w:eastAsia="zh-CN"/>
        </w:rPr>
        <w:t>：针对网关软件进程异常、链路中断、存储池离线、数据读写卡顿、副本同步失败、权限异常、配置失效等问题，提供远程诊断、问题定位、应急修复；所有故障要求30分钟内远程介入，必要时安排工程师2小时内上门处置，确保在故障发生3小时内完成处置。</w:t>
      </w:r>
    </w:p>
    <w:p w14:paraId="4A4C4CC8">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w:t>
      </w:r>
      <w:r>
        <w:rPr>
          <w:rFonts w:hint="default" w:ascii="宋体" w:hAnsi="宋体" w:eastAsia="宋体" w:cs="宋体"/>
          <w:color w:val="000000"/>
          <w:sz w:val="24"/>
          <w:szCs w:val="24"/>
          <w:lang w:val="en-US" w:eastAsia="zh-CN"/>
        </w:rPr>
        <w:t>配置管理与优化</w:t>
      </w:r>
      <w:r>
        <w:rPr>
          <w:rFonts w:hint="eastAsia" w:ascii="宋体" w:hAnsi="宋体" w:eastAsia="宋体" w:cs="宋体"/>
          <w:color w:val="000000"/>
          <w:sz w:val="24"/>
          <w:szCs w:val="24"/>
          <w:lang w:val="en-US" w:eastAsia="zh-CN"/>
        </w:rPr>
        <w:t>：按医院要求完成网关参数配置、权限划分、存储池扩容、卷管理、快照策略、备份策略、QoS 流量管控等配置调整；结合医院业务负载开展性能调优，优化读写策略、缓存策略，提升存储响应速度。</w:t>
      </w:r>
    </w:p>
    <w:p w14:paraId="1218D5D2">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w:t>
      </w:r>
      <w:r>
        <w:rPr>
          <w:rFonts w:hint="default" w:ascii="宋体" w:hAnsi="宋体" w:eastAsia="宋体" w:cs="宋体"/>
          <w:color w:val="000000"/>
          <w:sz w:val="24"/>
          <w:szCs w:val="24"/>
          <w:lang w:val="en-US" w:eastAsia="zh-CN"/>
        </w:rPr>
        <w:t>数据与配置备份</w:t>
      </w:r>
      <w:r>
        <w:rPr>
          <w:rFonts w:hint="eastAsia" w:ascii="宋体" w:hAnsi="宋体" w:eastAsia="宋体" w:cs="宋体"/>
          <w:color w:val="000000"/>
          <w:sz w:val="24"/>
          <w:szCs w:val="24"/>
          <w:lang w:val="en-US" w:eastAsia="zh-CN"/>
        </w:rPr>
        <w:t>：定期对 DataCore网关系统配置、逻辑架构、策略文件进行全量备份，留存备份文件并标注版本，保障故障后可快速回滚恢复。</w:t>
      </w:r>
    </w:p>
    <w:p w14:paraId="360B2DED">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3.超融合平台专项运维服务</w:t>
      </w:r>
    </w:p>
    <w:p w14:paraId="0D5F3562">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①平台监控：</w:t>
      </w:r>
      <w:r>
        <w:rPr>
          <w:rFonts w:hint="default" w:ascii="宋体" w:hAnsi="宋体" w:eastAsia="宋体" w:cs="宋体"/>
          <w:color w:val="000000"/>
          <w:sz w:val="24"/>
          <w:szCs w:val="24"/>
          <w:lang w:val="en-US" w:eastAsia="zh-CN"/>
        </w:rPr>
        <w:t>对医院所有超融合集群、虚拟化主机、虚拟机、分布式存储、虚拟网络、虚拟交换机等组件进行常态化监控，监测硬件健康度、集群负载、虚拟机运行状态、磁盘、内存、网络、IO 负载，及时发现</w:t>
      </w:r>
      <w:r>
        <w:rPr>
          <w:rFonts w:hint="eastAsia" w:ascii="宋体" w:hAnsi="宋体" w:eastAsia="宋体" w:cs="宋体"/>
          <w:color w:val="000000"/>
          <w:sz w:val="24"/>
          <w:szCs w:val="24"/>
          <w:lang w:val="en-US" w:eastAsia="zh-CN"/>
        </w:rPr>
        <w:t>和处置</w:t>
      </w:r>
      <w:r>
        <w:rPr>
          <w:rFonts w:hint="default" w:ascii="宋体" w:hAnsi="宋体" w:eastAsia="宋体" w:cs="宋体"/>
          <w:color w:val="000000"/>
          <w:sz w:val="24"/>
          <w:szCs w:val="24"/>
          <w:lang w:val="en-US" w:eastAsia="zh-CN"/>
        </w:rPr>
        <w:t>宕机、卡顿、集群分裂、数据重构等</w:t>
      </w:r>
      <w:r>
        <w:rPr>
          <w:rFonts w:hint="eastAsia" w:ascii="宋体" w:hAnsi="宋体" w:eastAsia="宋体" w:cs="宋体"/>
          <w:color w:val="000000"/>
          <w:sz w:val="24"/>
          <w:szCs w:val="24"/>
          <w:lang w:val="en-US" w:eastAsia="zh-CN"/>
        </w:rPr>
        <w:t>问题</w:t>
      </w:r>
      <w:r>
        <w:rPr>
          <w:rFonts w:hint="default" w:ascii="宋体" w:hAnsi="宋体" w:eastAsia="宋体" w:cs="宋体"/>
          <w:color w:val="000000"/>
          <w:sz w:val="24"/>
          <w:szCs w:val="24"/>
          <w:lang w:val="en-US" w:eastAsia="zh-CN"/>
        </w:rPr>
        <w:t>。</w:t>
      </w:r>
    </w:p>
    <w:p w14:paraId="03B2C643">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w:t>
      </w:r>
      <w:r>
        <w:rPr>
          <w:rFonts w:hint="default" w:ascii="宋体" w:hAnsi="宋体" w:eastAsia="宋体" w:cs="宋体"/>
          <w:color w:val="000000"/>
          <w:sz w:val="24"/>
          <w:szCs w:val="24"/>
          <w:lang w:val="en-US" w:eastAsia="zh-CN"/>
        </w:rPr>
        <w:t>故障应急处置</w:t>
      </w:r>
      <w:r>
        <w:rPr>
          <w:rFonts w:hint="eastAsia" w:ascii="宋体" w:hAnsi="宋体" w:eastAsia="宋体" w:cs="宋体"/>
          <w:color w:val="000000"/>
          <w:sz w:val="24"/>
          <w:szCs w:val="24"/>
          <w:lang w:val="en-US" w:eastAsia="zh-CN"/>
        </w:rPr>
        <w:t>：负责处置超融合集群异常、虚拟机启动/迁移/快照异常、分布式存储故障、虚拟网络中断、资源争用、HA高可用机制失效、业务运行卡顿等各类问题。处置过程中快速隔离故障节点，保障集群整体稳定、核心业务不间断。必要时须提供临时超融合软件及对应授权，按医院要求完成超融合集群重新部署工作。所有故障要求30分钟内远程介入，必要时安排工程师2小时内上门处置，确保在故障发生3小时内完成处置。</w:t>
      </w:r>
    </w:p>
    <w:p w14:paraId="3DFB03AD">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w:t>
      </w:r>
      <w:r>
        <w:rPr>
          <w:rFonts w:hint="default" w:ascii="宋体" w:hAnsi="宋体" w:eastAsia="宋体" w:cs="宋体"/>
          <w:color w:val="000000"/>
          <w:sz w:val="24"/>
          <w:szCs w:val="24"/>
          <w:lang w:val="en-US" w:eastAsia="zh-CN"/>
        </w:rPr>
        <w:t>虚拟化运维管理</w:t>
      </w:r>
      <w:r>
        <w:rPr>
          <w:rFonts w:hint="eastAsia" w:ascii="宋体" w:hAnsi="宋体" w:eastAsia="宋体" w:cs="宋体"/>
          <w:color w:val="000000"/>
          <w:sz w:val="24"/>
          <w:szCs w:val="24"/>
          <w:lang w:val="en-US" w:eastAsia="zh-CN"/>
        </w:rPr>
        <w:t>：按医院要求</w:t>
      </w:r>
      <w:r>
        <w:rPr>
          <w:rFonts w:hint="default" w:ascii="宋体" w:hAnsi="宋体" w:eastAsia="宋体" w:cs="宋体"/>
          <w:color w:val="000000"/>
          <w:sz w:val="24"/>
          <w:szCs w:val="24"/>
          <w:lang w:val="en-US" w:eastAsia="zh-CN"/>
        </w:rPr>
        <w:t>完成虚拟机新建、迁移、删除、资源调配、模板管理、快照管理、备份恢复、权限管控；优化虚拟机资源分配策略，避免资源浪费与负载失衡。</w:t>
      </w:r>
    </w:p>
    <w:p w14:paraId="2E30C773">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w:t>
      </w:r>
      <w:r>
        <w:rPr>
          <w:rFonts w:hint="default" w:ascii="宋体" w:hAnsi="宋体" w:eastAsia="宋体" w:cs="宋体"/>
          <w:color w:val="000000"/>
          <w:sz w:val="24"/>
          <w:szCs w:val="24"/>
          <w:lang w:val="en-US" w:eastAsia="zh-CN"/>
        </w:rPr>
        <w:t>平台升级与运维保障</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负责超融合平台固件、系统版本、组件包、安全补丁的评估与升级实施，制定升级回滚方案，全程把控升级风险；定期检查平台授权、许可状态，确保服务合法有效。</w:t>
      </w:r>
    </w:p>
    <w:p w14:paraId="4D460467">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w:t>
      </w:r>
      <w:r>
        <w:rPr>
          <w:rFonts w:hint="default" w:ascii="宋体" w:hAnsi="宋体" w:eastAsia="宋体" w:cs="宋体"/>
          <w:color w:val="000000"/>
          <w:sz w:val="24"/>
          <w:szCs w:val="24"/>
          <w:lang w:val="en-US" w:eastAsia="zh-CN"/>
        </w:rPr>
        <w:t>分布式存储优化</w:t>
      </w:r>
      <w:r>
        <w:rPr>
          <w:rFonts w:hint="eastAsia" w:ascii="宋体" w:hAnsi="宋体" w:eastAsia="宋体" w:cs="宋体"/>
          <w:color w:val="000000"/>
          <w:sz w:val="24"/>
          <w:szCs w:val="24"/>
          <w:lang w:val="en-US" w:eastAsia="zh-CN"/>
        </w:rPr>
        <w:t>：根据医院实际情况，</w:t>
      </w:r>
      <w:r>
        <w:rPr>
          <w:rFonts w:hint="default" w:ascii="宋体" w:hAnsi="宋体" w:eastAsia="宋体" w:cs="宋体"/>
          <w:color w:val="000000"/>
          <w:sz w:val="24"/>
          <w:szCs w:val="24"/>
          <w:lang w:val="en-US" w:eastAsia="zh-CN"/>
        </w:rPr>
        <w:t>针对超融合内置分布式存储开展块存储、文件存储性能优化，调整数据副本、重构策略、读写缓存，优化磁盘组架构，</w:t>
      </w:r>
      <w:r>
        <w:rPr>
          <w:rFonts w:hint="eastAsia" w:ascii="宋体" w:hAnsi="宋体" w:eastAsia="宋体" w:cs="宋体"/>
          <w:color w:val="000000"/>
          <w:sz w:val="24"/>
          <w:szCs w:val="24"/>
          <w:lang w:val="en-US" w:eastAsia="zh-CN"/>
        </w:rPr>
        <w:t>保障</w:t>
      </w:r>
      <w:r>
        <w:rPr>
          <w:rFonts w:hint="default" w:ascii="宋体" w:hAnsi="宋体" w:eastAsia="宋体" w:cs="宋体"/>
          <w:color w:val="000000"/>
          <w:sz w:val="24"/>
          <w:szCs w:val="24"/>
          <w:lang w:val="en-US" w:eastAsia="zh-CN"/>
        </w:rPr>
        <w:t>存储稳定性与吞吐能力。</w:t>
      </w:r>
    </w:p>
    <w:p w14:paraId="53F325C6">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⑥</w:t>
      </w:r>
      <w:r>
        <w:rPr>
          <w:rFonts w:hint="default" w:ascii="宋体" w:hAnsi="宋体" w:eastAsia="宋体" w:cs="宋体"/>
          <w:color w:val="000000"/>
          <w:sz w:val="24"/>
          <w:szCs w:val="24"/>
          <w:lang w:val="en-US" w:eastAsia="zh-CN"/>
        </w:rPr>
        <w:t>容灾与备份支撑</w:t>
      </w:r>
      <w:r>
        <w:rPr>
          <w:rFonts w:hint="eastAsia" w:ascii="宋体" w:hAnsi="宋体" w:eastAsia="宋体" w:cs="宋体"/>
          <w:color w:val="000000"/>
          <w:sz w:val="24"/>
          <w:szCs w:val="24"/>
          <w:lang w:val="en-US" w:eastAsia="zh-CN"/>
        </w:rPr>
        <w:t>：根据医院需求搭建、调试、优化超融合平台整机备份、虚拟机备份、异地容灾策略，定期验证备份文件可用性，保障业务数据可恢复。</w:t>
      </w:r>
    </w:p>
    <w:p w14:paraId="0EB8240E">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⑦</w:t>
      </w:r>
      <w:r>
        <w:rPr>
          <w:rFonts w:hint="default" w:ascii="宋体" w:hAnsi="宋体" w:eastAsia="宋体" w:cs="宋体"/>
          <w:color w:val="000000"/>
          <w:sz w:val="24"/>
          <w:szCs w:val="24"/>
          <w:lang w:val="en-US" w:eastAsia="zh-CN"/>
        </w:rPr>
        <w:t>巡检服务</w:t>
      </w:r>
      <w:r>
        <w:rPr>
          <w:rFonts w:hint="eastAsia" w:ascii="宋体" w:hAnsi="宋体" w:eastAsia="宋体" w:cs="宋体"/>
          <w:color w:val="000000"/>
          <w:sz w:val="24"/>
          <w:szCs w:val="24"/>
          <w:lang w:val="en-US" w:eastAsia="zh-CN"/>
        </w:rPr>
        <w:t>：每季度安排专业工程师到现场开展全面巡检，覆盖机房全部物理服务器、DataCore 存储虚拟化网关、超融合平台所有软硬件组件。巡检内容包含运行状态检查、操作系统及平台日志审计、资源负载分析、配置合规性核查、系统漏洞风险排查、备份有效性验证、集群状态校验、历史问题复盘、账号权限核查等。每次巡检完成后3 个工作日内出具正式的巡检报告，内容包含整体运行状态、问题清单、风险评估、优化建议及整改方案。</w:t>
      </w:r>
    </w:p>
    <w:p w14:paraId="5FCA91A3">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（三）机房硬件运维服务</w:t>
      </w:r>
    </w:p>
    <w:p w14:paraId="6AAA5C52">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w:t>
      </w:r>
      <w:r>
        <w:rPr>
          <w:rFonts w:hint="eastAsia" w:ascii="宋体" w:hAnsi="宋体" w:eastAsia="宋体" w:cs="宋体"/>
          <w:color w:val="000000"/>
          <w:sz w:val="24"/>
          <w:szCs w:val="24"/>
          <w:lang w:val="en-US" w:eastAsia="zh-CN"/>
        </w:rPr>
        <w:t>现场故障处理：针对全院各院区网络类故障提供应急处置、根源分析、彻底解决服务，杜绝同类问题反复发生；保障核心业务系统不因网络卡顿、中断、延迟出现运行异常。结合医院网络架构、业务需求、合规要求，定制并部署安全、稳定、合规的全网整体网络策略。</w:t>
      </w:r>
    </w:p>
    <w:p w14:paraId="1F370EC5">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w:t>
      </w:r>
      <w:r>
        <w:rPr>
          <w:rFonts w:hint="eastAsia" w:ascii="宋体" w:hAnsi="宋体" w:eastAsia="宋体" w:cs="宋体"/>
          <w:color w:val="000000"/>
          <w:sz w:val="24"/>
          <w:szCs w:val="24"/>
          <w:lang w:val="en-US" w:eastAsia="zh-CN"/>
        </w:rPr>
        <w:t>业务适应性配置调整：当业务需求发生变化时，按医院要求修改网络配置以适应新的需求，包括网络架构、VLAN、IP 地址、路由、地址转换、安全控制策略等配置的调整，当医院有新设备要接入网络时，需无条件配合新设备接入工作。</w:t>
      </w:r>
    </w:p>
    <w:p w14:paraId="6D45AE09">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w:t>
      </w:r>
      <w:r>
        <w:rPr>
          <w:rFonts w:hint="eastAsia" w:ascii="宋体" w:hAnsi="宋体" w:eastAsia="宋体" w:cs="宋体"/>
          <w:color w:val="000000"/>
          <w:sz w:val="24"/>
          <w:szCs w:val="24"/>
          <w:lang w:val="en-US" w:eastAsia="zh-CN"/>
        </w:rPr>
        <w:t>机房搬迁技术支撑：医院进行机房设备搬迁工作时，投标人需提前编制专项网络搬迁实施方案，派驻现场技术人员全程执行，按医院要求完成网络终端配置、线路梳理、链路优化、设备上架调试、网络调试等工作，保障机房设备搬迁后网络正常运行。</w:t>
      </w:r>
    </w:p>
    <w:p w14:paraId="261E4830">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4．</w:t>
      </w:r>
      <w:r>
        <w:rPr>
          <w:rFonts w:hint="eastAsia" w:ascii="宋体" w:hAnsi="宋体" w:eastAsia="宋体" w:cs="宋体"/>
          <w:color w:val="000000"/>
          <w:sz w:val="24"/>
          <w:szCs w:val="24"/>
          <w:lang w:val="en-US" w:eastAsia="zh-CN"/>
        </w:rPr>
        <w:t>机房核心设备配置备份：每季度对各院区机房核心网络设备、安全设备进行全量配置文件备份，分类归档存储，标注设备名称、备份时间、版本信息，保障设备故障后可快速恢复配置。</w:t>
      </w:r>
    </w:p>
    <w:p w14:paraId="399D0791">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5．</w:t>
      </w:r>
      <w:r>
        <w:rPr>
          <w:rFonts w:hint="eastAsia" w:ascii="宋体" w:hAnsi="宋体" w:eastAsia="宋体" w:cs="宋体"/>
          <w:color w:val="000000"/>
          <w:sz w:val="24"/>
          <w:szCs w:val="24"/>
          <w:lang w:val="en-US" w:eastAsia="zh-CN"/>
        </w:rPr>
        <w:t>巡检服务：每个季度对医院机房设备进行一次例行的深度健康检查（巡检），并提交巡检报告。</w:t>
      </w:r>
    </w:p>
    <w:p w14:paraId="43A1FFC3">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6．</w:t>
      </w:r>
      <w:r>
        <w:rPr>
          <w:rFonts w:hint="eastAsia" w:ascii="宋体" w:hAnsi="宋体" w:eastAsia="宋体" w:cs="宋体"/>
          <w:color w:val="000000"/>
          <w:sz w:val="24"/>
          <w:szCs w:val="24"/>
          <w:lang w:val="en-US" w:eastAsia="zh-CN"/>
        </w:rPr>
        <w:t>网络性能优化：当网络系统性能不满足采购人对业务系统响应速度的要求时，设法优化网络系统架构和配置，最大限度地满足业务系统的性能要求。</w:t>
      </w:r>
    </w:p>
    <w:p w14:paraId="10950A2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7．</w:t>
      </w:r>
      <w:r>
        <w:rPr>
          <w:rFonts w:hint="eastAsia" w:ascii="宋体" w:hAnsi="宋体" w:eastAsia="宋体" w:cs="宋体"/>
          <w:color w:val="000000"/>
          <w:sz w:val="24"/>
          <w:szCs w:val="24"/>
          <w:lang w:val="en-US" w:eastAsia="zh-CN"/>
        </w:rPr>
        <w:t>预防性维护：如在巡检或在其它维护活动中发现可能引起系统故障的隐患，应提出应对方案，并在医院有要求时，按应对方案执行对系统的修补、加强等预防性措施。</w:t>
      </w:r>
    </w:p>
    <w:p w14:paraId="5664CD9E">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8．</w:t>
      </w:r>
      <w:r>
        <w:rPr>
          <w:rFonts w:hint="eastAsia" w:ascii="宋体" w:hAnsi="宋体" w:eastAsia="宋体" w:cs="宋体"/>
          <w:color w:val="000000"/>
          <w:sz w:val="24"/>
          <w:szCs w:val="24"/>
          <w:lang w:val="en-US" w:eastAsia="zh-CN"/>
        </w:rPr>
        <w:t>机房设备出现硬件故障时，投标人须配合采购人完成设备维修，承担故障设备下架、替换设备上架及线缆规整工作。维修所用网络跳线、光纤跳线、水晶头等辅材，由投标人免费供应。</w:t>
      </w:r>
    </w:p>
    <w:p w14:paraId="6E33C247">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9．</w:t>
      </w:r>
      <w:r>
        <w:rPr>
          <w:rFonts w:hint="eastAsia" w:ascii="宋体" w:hAnsi="宋体" w:eastAsia="宋体" w:cs="宋体"/>
          <w:color w:val="000000"/>
          <w:sz w:val="24"/>
          <w:szCs w:val="24"/>
          <w:lang w:val="en-US" w:eastAsia="zh-CN"/>
        </w:rPr>
        <w:t>投标方需使用院方指定报修平台，接收报修问题，实时更新故障维修进度。</w:t>
      </w:r>
    </w:p>
    <w:p w14:paraId="406010F7">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响应时间要求：</w:t>
      </w:r>
    </w:p>
    <w:p w14:paraId="7508C1BA">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①故障处理响应时间：投标方在接到采购方问题反馈后，30分钟内给予响应，如故障远程无法处理，工程师须在2小时内到达采购方现场对故障进行排查和处理；</w:t>
      </w:r>
    </w:p>
    <w:p w14:paraId="4DDA236F">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硬件故障响应时间：机房核心交换机故障时，保证核心交换机在2小时内恢复运行（含核心交换机重启时间）；非核心交换机故障即汇聚交换机、接入交换机、无线AP故障时，需配合院方人员通过使用备机或者线路切换等方式，保证汇聚交换机在1.5小时内恢复运行，接入交换机在2小时内恢复运行，无线AP在8小时内恢复运行。</w:t>
      </w:r>
    </w:p>
    <w:p w14:paraId="49E3E2C7">
      <w:pPr>
        <w:snapToGrid w:val="0"/>
        <w:spacing w:line="400" w:lineRule="exact"/>
        <w:ind w:firstLine="420" w:firstLineChars="200"/>
        <w:jc w:val="both"/>
        <w:rPr>
          <w:rFonts w:hint="default" w:ascii="宋体" w:hAnsi="宋体" w:eastAsia="宋体" w:cs="宋体"/>
          <w:color w:val="000000"/>
          <w:sz w:val="24"/>
          <w:szCs w:val="24"/>
          <w:lang w:val="en-US" w:eastAsia="zh-CN"/>
        </w:rPr>
      </w:pPr>
      <w:r>
        <w:rPr>
          <w:rFonts w:hint="eastAsia"/>
          <w:sz w:val="21"/>
          <w:highlight w:val="yellow"/>
        </w:rPr>
        <w:t>▲</w:t>
      </w:r>
      <w:r>
        <w:rPr>
          <w:rFonts w:hint="default" w:ascii="宋体" w:hAnsi="宋体" w:eastAsia="宋体" w:cs="宋体"/>
          <w:color w:val="000000"/>
          <w:sz w:val="24"/>
          <w:szCs w:val="24"/>
          <w:lang w:val="en-US" w:eastAsia="zh-CN"/>
        </w:rPr>
        <w:t>10．</w:t>
      </w:r>
      <w:r>
        <w:rPr>
          <w:rFonts w:hint="eastAsia" w:ascii="宋体" w:hAnsi="宋体" w:eastAsia="宋体" w:cs="宋体"/>
          <w:color w:val="000000"/>
          <w:sz w:val="24"/>
          <w:szCs w:val="24"/>
          <w:lang w:val="en-US" w:eastAsia="zh-CN"/>
        </w:rPr>
        <w:t>对医院现用的上网行为管理系统（型号：AC-1000 B1300）进行URL特征库升级及硬件质保，提供2年的的URL特征库升级及原厂维保（提供原厂维保服务承诺函），或在服务期内提供相同能力的上网行为管理系统供院方使用（须提供相同能力产品的佐证材料，如功能界面截图、功能对比说明、测评报告等）。</w:t>
      </w:r>
    </w:p>
    <w:p w14:paraId="5EE98CEC">
      <w:pPr>
        <w:pStyle w:val="5"/>
        <w:spacing w:before="0" w:beforeAutospacing="0"/>
        <w:ind w:firstLine="562" w:firstLineChars="200"/>
        <w:outlineLvl w:val="9"/>
        <w:rPr>
          <w:rFonts w:hint="eastAsia" w:ascii="宋体" w:hAnsi="宋体" w:eastAsia="宋体" w:cs="宋体"/>
          <w:b/>
          <w:color w:val="000000"/>
          <w:lang w:val="en-US" w:eastAsia="zh-CN"/>
        </w:rPr>
      </w:pPr>
      <w:r>
        <w:rPr>
          <w:rFonts w:hint="eastAsia" w:ascii="宋体" w:hAnsi="宋体" w:eastAsia="宋体" w:cs="宋体"/>
          <w:b/>
          <w:color w:val="000000"/>
          <w:lang w:val="en-US" w:eastAsia="zh-CN"/>
        </w:rPr>
        <w:t>三、其它要求</w:t>
      </w:r>
    </w:p>
    <w:p w14:paraId="0967972C">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（一）根据投标人的技术能力、服务响应时间、配件到场速度、维护保养情况等进行考核，如未达到合同约定要求用户可随时终止合同。</w:t>
      </w:r>
    </w:p>
    <w:p w14:paraId="1CACA6C2">
      <w:pPr>
        <w:snapToGrid w:val="0"/>
        <w:spacing w:line="400" w:lineRule="exact"/>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（二）在远程服务或系统升级服务时，必须向院方提出申请同意后才能实施，且投标单位对医院的信息安全和数据安全负全责，在服务工作中造成的影响或损失由投标单位负全责。</w:t>
      </w:r>
    </w:p>
    <w:p w14:paraId="444A3029">
      <w:pPr>
        <w:snapToGrid w:val="0"/>
        <w:spacing w:line="400" w:lineRule="exact"/>
        <w:ind w:firstLine="480" w:firstLineChars="2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三）投标人须自行到本项目现场实地勘查，全面掌握项目现状与服务需求。凡因投标人自身踏勘不到位、理解失误，导致投标方案存在缺陷、报价出现漏项的，全部责任由投标人自行承担。踏勘人员须严格遵守医院各项管理规定。</w:t>
      </w:r>
    </w:p>
    <w:p w14:paraId="78A2CF42">
      <w:pPr>
        <w:widowControl w:val="0"/>
        <w:numPr>
          <w:ilvl w:val="0"/>
          <w:numId w:val="0"/>
        </w:numPr>
        <w:rPr>
          <w:rFonts w:hint="eastAsia"/>
          <w:color w:val="000000"/>
        </w:rPr>
      </w:pPr>
    </w:p>
    <w:p w14:paraId="328F5EA7">
      <w:pPr>
        <w:widowControl w:val="0"/>
        <w:numPr>
          <w:ilvl w:val="0"/>
          <w:numId w:val="0"/>
        </w:numPr>
        <w:rPr>
          <w:rFonts w:hint="eastAsia"/>
          <w:color w:val="000000"/>
        </w:rPr>
      </w:pPr>
    </w:p>
    <w:p w14:paraId="56F9198F">
      <w:pPr>
        <w:widowControl w:val="0"/>
        <w:numPr>
          <w:ilvl w:val="0"/>
          <w:numId w:val="0"/>
        </w:numPr>
        <w:rPr>
          <w:rFonts w:hint="eastAsia"/>
          <w:color w:val="000000"/>
        </w:rPr>
      </w:pPr>
    </w:p>
    <w:p w14:paraId="6965B92B">
      <w:pPr>
        <w:widowControl w:val="0"/>
        <w:numPr>
          <w:ilvl w:val="0"/>
          <w:numId w:val="0"/>
        </w:numPr>
        <w:rPr>
          <w:rFonts w:hint="eastAsia"/>
          <w:color w:val="000000"/>
        </w:rPr>
      </w:pPr>
    </w:p>
    <w:p w14:paraId="7E684FEE">
      <w:pPr>
        <w:widowControl w:val="0"/>
        <w:numPr>
          <w:ilvl w:val="0"/>
          <w:numId w:val="0"/>
        </w:numPr>
        <w:rPr>
          <w:rFonts w:hint="eastAsia"/>
          <w:color w:val="000000"/>
        </w:rPr>
      </w:pPr>
    </w:p>
    <w:p w14:paraId="26C3A06E">
      <w:pPr>
        <w:widowControl w:val="0"/>
        <w:numPr>
          <w:ilvl w:val="0"/>
          <w:numId w:val="0"/>
        </w:numPr>
        <w:rPr>
          <w:rFonts w:hint="eastAsia"/>
          <w:color w:val="000000"/>
        </w:rPr>
      </w:pPr>
    </w:p>
    <w:p w14:paraId="1E8E461F">
      <w:pPr>
        <w:widowControl w:val="0"/>
        <w:numPr>
          <w:ilvl w:val="0"/>
          <w:numId w:val="0"/>
        </w:numPr>
        <w:rPr>
          <w:rFonts w:hint="eastAsia"/>
          <w:color w:val="000000"/>
        </w:rPr>
      </w:pPr>
    </w:p>
    <w:p w14:paraId="5108FDFE">
      <w:pPr>
        <w:widowControl w:val="0"/>
        <w:numPr>
          <w:ilvl w:val="0"/>
          <w:numId w:val="0"/>
        </w:numPr>
        <w:rPr>
          <w:rFonts w:hint="eastAsia"/>
          <w:color w:val="000000"/>
        </w:rPr>
      </w:pPr>
    </w:p>
    <w:p w14:paraId="52527276">
      <w:pPr>
        <w:widowControl w:val="0"/>
        <w:numPr>
          <w:ilvl w:val="0"/>
          <w:numId w:val="0"/>
        </w:numPr>
        <w:rPr>
          <w:rFonts w:hint="eastAsia"/>
          <w:color w:val="000000"/>
        </w:rPr>
      </w:pPr>
    </w:p>
    <w:p w14:paraId="19855E43">
      <w:pPr>
        <w:widowControl w:val="0"/>
        <w:numPr>
          <w:ilvl w:val="0"/>
          <w:numId w:val="0"/>
        </w:numPr>
        <w:rPr>
          <w:rFonts w:hint="eastAsia"/>
          <w:color w:val="000000"/>
        </w:rPr>
      </w:pPr>
    </w:p>
    <w:p w14:paraId="172B2EB6">
      <w:pPr>
        <w:widowControl w:val="0"/>
        <w:numPr>
          <w:ilvl w:val="0"/>
          <w:numId w:val="0"/>
        </w:numPr>
        <w:rPr>
          <w:rFonts w:hint="eastAsia"/>
          <w:color w:val="000000"/>
        </w:rPr>
      </w:pPr>
    </w:p>
    <w:p w14:paraId="345F6C86">
      <w:pPr>
        <w:widowControl w:val="0"/>
        <w:numPr>
          <w:ilvl w:val="0"/>
          <w:numId w:val="0"/>
        </w:numPr>
        <w:rPr>
          <w:rFonts w:hint="eastAsia"/>
          <w:color w:val="000000"/>
        </w:rPr>
      </w:pPr>
    </w:p>
    <w:p w14:paraId="74AE5B7C">
      <w:pPr>
        <w:widowControl w:val="0"/>
        <w:numPr>
          <w:ilvl w:val="0"/>
          <w:numId w:val="0"/>
        </w:numPr>
        <w:rPr>
          <w:rFonts w:hint="eastAsia"/>
          <w:color w:val="000000"/>
        </w:rPr>
      </w:pPr>
    </w:p>
    <w:p w14:paraId="101C3020">
      <w:pPr>
        <w:widowControl w:val="0"/>
        <w:numPr>
          <w:ilvl w:val="0"/>
          <w:numId w:val="0"/>
        </w:numPr>
        <w:rPr>
          <w:rFonts w:hint="eastAsia"/>
          <w:color w:val="000000"/>
        </w:rPr>
      </w:pPr>
    </w:p>
    <w:p w14:paraId="486B05E0">
      <w:pPr>
        <w:widowControl w:val="0"/>
        <w:numPr>
          <w:ilvl w:val="0"/>
          <w:numId w:val="0"/>
        </w:numPr>
        <w:rPr>
          <w:rFonts w:hint="eastAsia"/>
          <w:color w:val="000000"/>
        </w:rPr>
      </w:pPr>
    </w:p>
    <w:p w14:paraId="0811866C">
      <w:pPr>
        <w:widowControl w:val="0"/>
        <w:numPr>
          <w:ilvl w:val="0"/>
          <w:numId w:val="0"/>
        </w:numPr>
        <w:rPr>
          <w:rFonts w:hint="eastAsia"/>
          <w:color w:val="000000"/>
        </w:rPr>
      </w:pPr>
    </w:p>
    <w:p w14:paraId="70AF78E1">
      <w:pPr>
        <w:widowControl w:val="0"/>
        <w:numPr>
          <w:ilvl w:val="0"/>
          <w:numId w:val="0"/>
        </w:numPr>
        <w:rPr>
          <w:rFonts w:hint="eastAsia"/>
          <w:color w:val="000000"/>
        </w:rPr>
      </w:pPr>
    </w:p>
    <w:p w14:paraId="7DAFDA97">
      <w:pPr>
        <w:widowControl w:val="0"/>
        <w:numPr>
          <w:ilvl w:val="0"/>
          <w:numId w:val="0"/>
        </w:numPr>
        <w:rPr>
          <w:rFonts w:hint="eastAsia"/>
          <w:color w:val="000000"/>
        </w:rPr>
      </w:pPr>
    </w:p>
    <w:p w14:paraId="0AE7B4A6">
      <w:pPr>
        <w:widowControl w:val="0"/>
        <w:numPr>
          <w:ilvl w:val="0"/>
          <w:numId w:val="0"/>
        </w:numPr>
        <w:rPr>
          <w:rFonts w:hint="eastAsia"/>
          <w:color w:val="000000"/>
        </w:rPr>
      </w:pPr>
    </w:p>
    <w:p w14:paraId="57EA6DB9">
      <w:pPr>
        <w:widowControl w:val="0"/>
        <w:numPr>
          <w:ilvl w:val="0"/>
          <w:numId w:val="0"/>
        </w:numPr>
        <w:rPr>
          <w:rFonts w:hint="eastAsia"/>
          <w:color w:val="000000"/>
        </w:rPr>
      </w:pPr>
    </w:p>
    <w:p w14:paraId="0E99F2F5">
      <w:pPr>
        <w:widowControl w:val="0"/>
        <w:numPr>
          <w:ilvl w:val="0"/>
          <w:numId w:val="0"/>
        </w:numPr>
        <w:rPr>
          <w:rFonts w:hint="eastAsia"/>
          <w:color w:val="000000"/>
        </w:rPr>
      </w:pPr>
    </w:p>
    <w:p w14:paraId="77D48722">
      <w:pPr>
        <w:widowControl w:val="0"/>
        <w:numPr>
          <w:ilvl w:val="0"/>
          <w:numId w:val="0"/>
        </w:numPr>
        <w:rPr>
          <w:rFonts w:hint="eastAsia"/>
          <w:color w:val="000000"/>
        </w:rPr>
      </w:pPr>
    </w:p>
    <w:p w14:paraId="0A1C8BDD">
      <w:pPr>
        <w:widowControl w:val="0"/>
        <w:numPr>
          <w:ilvl w:val="0"/>
          <w:numId w:val="0"/>
        </w:numPr>
        <w:rPr>
          <w:rFonts w:hint="eastAsia"/>
          <w:color w:val="000000"/>
        </w:rPr>
      </w:pPr>
    </w:p>
    <w:p w14:paraId="05F2633F">
      <w:pPr>
        <w:widowControl w:val="0"/>
        <w:numPr>
          <w:ilvl w:val="0"/>
          <w:numId w:val="0"/>
        </w:numPr>
        <w:rPr>
          <w:rFonts w:hint="eastAsia"/>
          <w:color w:val="000000"/>
        </w:rPr>
      </w:pPr>
    </w:p>
    <w:p w14:paraId="022CD1CA">
      <w:pPr>
        <w:widowControl w:val="0"/>
        <w:numPr>
          <w:ilvl w:val="0"/>
          <w:numId w:val="0"/>
        </w:numPr>
        <w:rPr>
          <w:rFonts w:hint="eastAsia"/>
          <w:color w:val="000000"/>
        </w:rPr>
      </w:pPr>
    </w:p>
    <w:p w14:paraId="713A292D">
      <w:pPr>
        <w:widowControl w:val="0"/>
        <w:numPr>
          <w:ilvl w:val="0"/>
          <w:numId w:val="0"/>
        </w:numPr>
        <w:rPr>
          <w:rFonts w:hint="eastAsia"/>
          <w:color w:val="000000"/>
        </w:rPr>
      </w:pPr>
    </w:p>
    <w:p w14:paraId="7CE2CDCF">
      <w:pPr>
        <w:widowControl w:val="0"/>
        <w:numPr>
          <w:ilvl w:val="0"/>
          <w:numId w:val="0"/>
        </w:numPr>
        <w:rPr>
          <w:rFonts w:hint="eastAsia"/>
          <w:color w:val="000000"/>
        </w:rPr>
      </w:pPr>
    </w:p>
    <w:p w14:paraId="51E64AB7">
      <w:pPr>
        <w:widowControl w:val="0"/>
        <w:numPr>
          <w:ilvl w:val="0"/>
          <w:numId w:val="0"/>
        </w:numPr>
        <w:rPr>
          <w:rFonts w:hint="eastAsia"/>
          <w:color w:val="000000"/>
        </w:rPr>
      </w:pPr>
    </w:p>
    <w:p w14:paraId="3F3AD47F">
      <w:pPr>
        <w:widowControl w:val="0"/>
        <w:numPr>
          <w:ilvl w:val="0"/>
          <w:numId w:val="0"/>
        </w:numPr>
        <w:rPr>
          <w:rFonts w:hint="eastAsia"/>
          <w:color w:val="000000"/>
        </w:rPr>
      </w:pPr>
    </w:p>
    <w:p w14:paraId="52B5AA0A">
      <w:pPr>
        <w:widowControl w:val="0"/>
        <w:numPr>
          <w:ilvl w:val="0"/>
          <w:numId w:val="0"/>
        </w:numPr>
        <w:rPr>
          <w:rFonts w:hint="eastAsia"/>
          <w:color w:val="000000"/>
        </w:rPr>
      </w:pPr>
    </w:p>
    <w:p w14:paraId="0812951D">
      <w:pPr>
        <w:widowControl w:val="0"/>
        <w:numPr>
          <w:ilvl w:val="0"/>
          <w:numId w:val="0"/>
        </w:numPr>
        <w:rPr>
          <w:rFonts w:hint="eastAsia"/>
          <w:color w:val="000000"/>
        </w:rPr>
      </w:pPr>
    </w:p>
    <w:p w14:paraId="54D29B20">
      <w:pPr>
        <w:widowControl w:val="0"/>
        <w:numPr>
          <w:ilvl w:val="0"/>
          <w:numId w:val="0"/>
        </w:numPr>
        <w:rPr>
          <w:rFonts w:hint="eastAsia"/>
          <w:color w:val="000000"/>
        </w:rPr>
      </w:pPr>
    </w:p>
    <w:p w14:paraId="29917EB3">
      <w:pPr>
        <w:widowControl w:val="0"/>
        <w:numPr>
          <w:ilvl w:val="0"/>
          <w:numId w:val="0"/>
        </w:numPr>
        <w:rPr>
          <w:rFonts w:hint="eastAsia"/>
          <w:color w:val="000000"/>
        </w:rPr>
      </w:pPr>
    </w:p>
    <w:p w14:paraId="14112D68">
      <w:pPr>
        <w:widowControl w:val="0"/>
        <w:numPr>
          <w:ilvl w:val="0"/>
          <w:numId w:val="0"/>
        </w:numPr>
        <w:rPr>
          <w:rFonts w:hint="eastAsia"/>
          <w:color w:val="000000"/>
        </w:rPr>
      </w:pPr>
    </w:p>
    <w:p w14:paraId="4D3B158B">
      <w:pPr>
        <w:widowControl w:val="0"/>
        <w:numPr>
          <w:ilvl w:val="0"/>
          <w:numId w:val="0"/>
        </w:numPr>
        <w:rPr>
          <w:rFonts w:hint="eastAsia"/>
          <w:color w:val="000000"/>
        </w:rPr>
      </w:pPr>
    </w:p>
    <w:p w14:paraId="7BB97B52">
      <w:pPr>
        <w:widowControl w:val="0"/>
        <w:numPr>
          <w:ilvl w:val="0"/>
          <w:numId w:val="0"/>
        </w:numPr>
        <w:rPr>
          <w:rFonts w:hint="eastAsia"/>
          <w:color w:val="000000"/>
        </w:rPr>
      </w:pPr>
    </w:p>
    <w:p w14:paraId="7F420D36">
      <w:pPr>
        <w:widowControl w:val="0"/>
        <w:numPr>
          <w:ilvl w:val="0"/>
          <w:numId w:val="0"/>
        </w:numPr>
        <w:rPr>
          <w:rFonts w:hint="eastAsia"/>
          <w:color w:val="000000"/>
        </w:rPr>
      </w:pPr>
    </w:p>
    <w:p w14:paraId="1FAF9BCF">
      <w:pPr>
        <w:widowControl w:val="0"/>
        <w:numPr>
          <w:ilvl w:val="0"/>
          <w:numId w:val="0"/>
        </w:numPr>
        <w:rPr>
          <w:rFonts w:hint="eastAsia"/>
          <w:color w:val="000000"/>
        </w:rPr>
      </w:pPr>
    </w:p>
    <w:p w14:paraId="4785DE35">
      <w:pPr>
        <w:widowControl w:val="0"/>
        <w:numPr>
          <w:ilvl w:val="0"/>
          <w:numId w:val="0"/>
        </w:numPr>
        <w:rPr>
          <w:rFonts w:hint="eastAsia"/>
          <w:color w:val="000000"/>
        </w:rPr>
      </w:pPr>
    </w:p>
    <w:p w14:paraId="4ACBE4B9">
      <w:pPr>
        <w:pStyle w:val="3"/>
        <w:rPr>
          <w:rFonts w:hint="eastAsia"/>
          <w:color w:val="000000"/>
        </w:rPr>
      </w:pPr>
    </w:p>
    <w:bookmarkEnd w:id="24"/>
    <w:bookmarkEnd w:id="25"/>
    <w:bookmarkEnd w:id="40"/>
    <w:bookmarkEnd w:id="85"/>
    <w:p w14:paraId="6C6385F2">
      <w:pPr>
        <w:spacing w:line="500" w:lineRule="exact"/>
        <w:ind w:firstLine="2209" w:firstLineChars="500"/>
        <w:outlineLvl w:val="0"/>
        <w:rPr>
          <w:rFonts w:hint="eastAsia" w:ascii="宋体" w:hAnsi="宋体" w:eastAsia="宋体" w:cs="宋体"/>
          <w:b/>
          <w:color w:val="000000"/>
          <w:sz w:val="44"/>
          <w:szCs w:val="44"/>
          <w:lang w:val="en-US" w:eastAsia="zh-CN"/>
        </w:rPr>
      </w:pPr>
      <w:bookmarkStart w:id="86" w:name="_Toc11645"/>
      <w:bookmarkStart w:id="87" w:name="_Toc65660346"/>
      <w:bookmarkStart w:id="88" w:name="_Toc26685"/>
      <w:bookmarkStart w:id="89" w:name="_Toc14745"/>
      <w:bookmarkStart w:id="90" w:name="_Toc157002217"/>
      <w:bookmarkStart w:id="91" w:name="_Toc12789059"/>
      <w:bookmarkStart w:id="92" w:name="_Toc11641055"/>
      <w:bookmarkStart w:id="93" w:name="_Toc54718201"/>
      <w:r>
        <w:rPr>
          <w:rFonts w:hint="eastAsia" w:ascii="宋体" w:hAnsi="宋体" w:eastAsia="宋体" w:cs="宋体"/>
          <w:b/>
          <w:color w:val="000000"/>
          <w:sz w:val="44"/>
          <w:szCs w:val="44"/>
          <w:lang w:val="en-US" w:eastAsia="zh-CN"/>
        </w:rPr>
        <w:t>第四篇  项目商务要求</w:t>
      </w:r>
    </w:p>
    <w:p w14:paraId="1CF460F6">
      <w:pPr>
        <w:pStyle w:val="5"/>
        <w:spacing w:line="240" w:lineRule="auto"/>
        <w:outlineLvl w:val="9"/>
        <w:rPr>
          <w:rFonts w:hint="eastAsia" w:ascii="宋体" w:hAnsi="宋体" w:eastAsia="宋体" w:cs="宋体"/>
          <w:color w:val="000000"/>
          <w:sz w:val="24"/>
          <w:szCs w:val="24"/>
          <w:shd w:val="clear" w:color="auto" w:fill="auto"/>
          <w:lang w:val="en-US" w:eastAsia="zh-CN"/>
        </w:rPr>
      </w:pPr>
      <w:r>
        <w:rPr>
          <w:rFonts w:hint="eastAsia" w:ascii="宋体" w:hAnsi="宋体" w:eastAsia="宋体" w:cs="宋体"/>
          <w:color w:val="000000"/>
          <w:sz w:val="24"/>
          <w:szCs w:val="24"/>
          <w:shd w:val="clear" w:color="auto" w:fill="auto"/>
          <w:lang w:val="en-US" w:eastAsia="zh-CN"/>
        </w:rPr>
        <w:t>※一、商务需求</w:t>
      </w:r>
    </w:p>
    <w:p w14:paraId="53F303EB">
      <w:pPr>
        <w:snapToGrid w:val="0"/>
        <w:spacing w:line="400" w:lineRule="exact"/>
        <w:ind w:firstLine="54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※1.服务地点</w:t>
      </w:r>
    </w:p>
    <w:p w14:paraId="522373C4">
      <w:pPr>
        <w:snapToGrid w:val="0"/>
        <w:spacing w:line="400" w:lineRule="exact"/>
        <w:ind w:firstLine="54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服务地点：重庆市永川区萱花路439号，重庆市永川区108省道，永川区昌州大道东段639号附10号海润大厦，重庆市永川区昌州大道东段，重庆医科大学附属永川医院采购人指定地点。</w:t>
      </w:r>
    </w:p>
    <w:p w14:paraId="62A530D2">
      <w:pPr>
        <w:snapToGrid w:val="0"/>
        <w:spacing w:line="400" w:lineRule="exact"/>
        <w:ind w:firstLine="54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※2.考核方式</w:t>
      </w:r>
    </w:p>
    <w:p w14:paraId="20620592">
      <w:pPr>
        <w:snapToGrid w:val="0"/>
        <w:spacing w:line="400" w:lineRule="exact"/>
        <w:ind w:firstLine="54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lang w:val="en-US" w:eastAsia="zh-CN"/>
        </w:rPr>
        <w:t>1</w:t>
      </w:r>
      <w:r>
        <w:rPr>
          <w:rFonts w:hint="eastAsia" w:ascii="宋体" w:hAnsi="宋体" w:eastAsia="宋体" w:cs="Times New Roman"/>
          <w:color w:val="000000"/>
          <w:sz w:val="24"/>
          <w:szCs w:val="24"/>
          <w:lang w:eastAsia="zh-CN"/>
        </w:rPr>
        <w:t>）服务期内，采购人每</w:t>
      </w:r>
      <w:r>
        <w:rPr>
          <w:rFonts w:hint="eastAsia" w:ascii="宋体" w:hAnsi="宋体" w:eastAsia="宋体" w:cs="Times New Roman"/>
          <w:color w:val="000000"/>
          <w:sz w:val="24"/>
          <w:szCs w:val="24"/>
          <w:lang w:val="en-US" w:eastAsia="zh-CN"/>
        </w:rPr>
        <w:t>月</w:t>
      </w:r>
      <w:r>
        <w:rPr>
          <w:rFonts w:hint="eastAsia" w:ascii="宋体" w:hAnsi="宋体" w:eastAsia="宋体" w:cs="Times New Roman"/>
          <w:color w:val="000000"/>
          <w:sz w:val="24"/>
          <w:szCs w:val="24"/>
          <w:lang w:eastAsia="zh-CN"/>
        </w:rPr>
        <w:t>对投标人合同履行能力、维保服务质量等进行确认(包含但不限于响应维修的及时性、配件送达效率、</w:t>
      </w:r>
      <w:r>
        <w:rPr>
          <w:rFonts w:hint="eastAsia" w:ascii="宋体" w:hAnsi="宋体" w:eastAsia="宋体" w:cs="Times New Roman"/>
          <w:color w:val="000000"/>
          <w:sz w:val="24"/>
          <w:szCs w:val="24"/>
          <w:lang w:val="en-US" w:eastAsia="zh-CN"/>
        </w:rPr>
        <w:t>服务态度</w:t>
      </w:r>
      <w:r>
        <w:rPr>
          <w:rFonts w:hint="eastAsia" w:ascii="宋体" w:hAnsi="宋体" w:eastAsia="宋体" w:cs="Times New Roman"/>
          <w:color w:val="000000"/>
          <w:sz w:val="24"/>
          <w:szCs w:val="24"/>
          <w:lang w:eastAsia="zh-CN"/>
        </w:rPr>
        <w:t>、按要求做好保养服务及维修服务记录情况)，投标人有义务配合采购人进行合同确认工作。若确认合格，合同继续履行；若确认不合格，采购人可随时终止合同。</w:t>
      </w:r>
    </w:p>
    <w:p w14:paraId="26BF6460">
      <w:pPr>
        <w:snapToGrid w:val="0"/>
        <w:spacing w:line="400" w:lineRule="exact"/>
        <w:ind w:firstLine="54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val="en-US" w:eastAsia="zh-CN"/>
        </w:rPr>
        <w:t>（2）投标人</w:t>
      </w:r>
      <w:r>
        <w:rPr>
          <w:rFonts w:hint="eastAsia" w:ascii="宋体" w:hAnsi="宋体" w:eastAsia="宋体" w:cs="Times New Roman"/>
          <w:color w:val="000000"/>
          <w:sz w:val="24"/>
          <w:szCs w:val="24"/>
          <w:lang w:eastAsia="zh-CN"/>
        </w:rPr>
        <w:t>应通过自身的资源及服务，保障</w:t>
      </w:r>
      <w:r>
        <w:rPr>
          <w:rFonts w:hint="eastAsia" w:ascii="宋体" w:hAnsi="宋体" w:eastAsia="宋体" w:cs="Times New Roman"/>
          <w:color w:val="000000"/>
          <w:sz w:val="24"/>
          <w:szCs w:val="24"/>
          <w:lang w:val="en-US" w:eastAsia="zh-CN"/>
        </w:rPr>
        <w:t>院</w:t>
      </w:r>
      <w:r>
        <w:rPr>
          <w:rFonts w:hint="eastAsia" w:ascii="宋体" w:hAnsi="宋体" w:eastAsia="宋体" w:cs="Times New Roman"/>
          <w:color w:val="000000"/>
          <w:sz w:val="24"/>
          <w:szCs w:val="24"/>
          <w:lang w:eastAsia="zh-CN"/>
        </w:rPr>
        <w:t>方网络及数据安全，最大程度保证</w:t>
      </w:r>
      <w:r>
        <w:rPr>
          <w:rFonts w:hint="eastAsia" w:ascii="宋体" w:hAnsi="宋体" w:eastAsia="宋体" w:cs="Times New Roman"/>
          <w:color w:val="000000"/>
          <w:sz w:val="24"/>
          <w:szCs w:val="24"/>
          <w:lang w:val="en-US" w:eastAsia="zh-CN"/>
        </w:rPr>
        <w:t>院</w:t>
      </w:r>
      <w:r>
        <w:rPr>
          <w:rFonts w:hint="eastAsia" w:ascii="宋体" w:hAnsi="宋体" w:eastAsia="宋体" w:cs="Times New Roman"/>
          <w:color w:val="000000"/>
          <w:sz w:val="24"/>
          <w:szCs w:val="24"/>
          <w:lang w:eastAsia="zh-CN"/>
        </w:rPr>
        <w:t>方不要因为安全事件而受到重庆市网信办、重庆市卫健委、</w:t>
      </w:r>
      <w:r>
        <w:rPr>
          <w:rFonts w:hint="eastAsia" w:ascii="宋体" w:hAnsi="宋体" w:eastAsia="宋体" w:cs="Times New Roman"/>
          <w:color w:val="000000"/>
          <w:sz w:val="24"/>
          <w:szCs w:val="24"/>
          <w:lang w:val="en-US" w:eastAsia="zh-CN"/>
        </w:rPr>
        <w:t>公安局等监管</w:t>
      </w:r>
      <w:r>
        <w:rPr>
          <w:rFonts w:hint="eastAsia" w:ascii="宋体" w:hAnsi="宋体" w:eastAsia="宋体" w:cs="Times New Roman"/>
          <w:color w:val="000000"/>
          <w:sz w:val="24"/>
          <w:szCs w:val="24"/>
          <w:lang w:eastAsia="zh-CN"/>
        </w:rPr>
        <w:t>部门通报，每通报一次，将扣除</w:t>
      </w:r>
      <w:r>
        <w:rPr>
          <w:rFonts w:hint="eastAsia" w:ascii="宋体" w:hAnsi="宋体" w:eastAsia="宋体" w:cs="Times New Roman"/>
          <w:color w:val="000000"/>
          <w:sz w:val="24"/>
          <w:szCs w:val="24"/>
          <w:lang w:val="en-US" w:eastAsia="zh-CN"/>
        </w:rPr>
        <w:t>投标人</w:t>
      </w:r>
      <w:r>
        <w:rPr>
          <w:rFonts w:hint="eastAsia" w:ascii="宋体" w:hAnsi="宋体" w:eastAsia="宋体" w:cs="Times New Roman"/>
          <w:color w:val="000000"/>
          <w:sz w:val="24"/>
          <w:szCs w:val="24"/>
          <w:lang w:eastAsia="zh-CN"/>
        </w:rPr>
        <w:t>1</w:t>
      </w:r>
      <w:r>
        <w:rPr>
          <w:rFonts w:hint="eastAsia" w:ascii="宋体" w:hAnsi="宋体" w:eastAsia="宋体" w:cs="Times New Roman"/>
          <w:color w:val="000000"/>
          <w:sz w:val="24"/>
          <w:szCs w:val="24"/>
          <w:lang w:val="en-US" w:eastAsia="zh-CN"/>
        </w:rPr>
        <w:t>万</w:t>
      </w:r>
      <w:r>
        <w:rPr>
          <w:rFonts w:hint="eastAsia" w:ascii="宋体" w:hAnsi="宋体" w:eastAsia="宋体" w:cs="Times New Roman"/>
          <w:color w:val="000000"/>
          <w:sz w:val="24"/>
          <w:szCs w:val="24"/>
          <w:lang w:eastAsia="zh-CN"/>
        </w:rPr>
        <w:t>元</w:t>
      </w:r>
      <w:r>
        <w:rPr>
          <w:rFonts w:hint="eastAsia" w:ascii="宋体" w:hAnsi="宋体" w:eastAsia="宋体" w:cs="Times New Roman"/>
          <w:color w:val="000000"/>
          <w:sz w:val="24"/>
          <w:szCs w:val="24"/>
          <w:lang w:val="en-US" w:eastAsia="zh-CN"/>
        </w:rPr>
        <w:t>服务费</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lang w:val="en-US" w:eastAsia="zh-CN"/>
        </w:rPr>
        <w:t>单年度被</w:t>
      </w:r>
      <w:r>
        <w:rPr>
          <w:rFonts w:hint="eastAsia" w:ascii="宋体" w:hAnsi="宋体" w:eastAsia="宋体" w:cs="Times New Roman"/>
          <w:color w:val="000000"/>
          <w:sz w:val="24"/>
          <w:szCs w:val="24"/>
          <w:lang w:eastAsia="zh-CN"/>
        </w:rPr>
        <w:t>通报超出</w:t>
      </w:r>
      <w:r>
        <w:rPr>
          <w:rFonts w:hint="eastAsia" w:ascii="宋体" w:hAnsi="宋体" w:eastAsia="宋体" w:cs="Times New Roman"/>
          <w:color w:val="000000"/>
          <w:sz w:val="24"/>
          <w:szCs w:val="24"/>
          <w:lang w:val="en-US" w:eastAsia="zh-CN"/>
        </w:rPr>
        <w:t>三</w:t>
      </w:r>
      <w:r>
        <w:rPr>
          <w:rFonts w:hint="eastAsia" w:ascii="宋体" w:hAnsi="宋体" w:eastAsia="宋体" w:cs="Times New Roman"/>
          <w:color w:val="000000"/>
          <w:sz w:val="24"/>
          <w:szCs w:val="24"/>
          <w:lang w:eastAsia="zh-CN"/>
        </w:rPr>
        <w:t>次及以上，将扣除整年度服务费用，并保留追究</w:t>
      </w:r>
      <w:r>
        <w:rPr>
          <w:rFonts w:hint="eastAsia" w:ascii="宋体" w:hAnsi="宋体" w:eastAsia="宋体" w:cs="Times New Roman"/>
          <w:color w:val="000000"/>
          <w:sz w:val="24"/>
          <w:szCs w:val="24"/>
          <w:lang w:val="en-US" w:eastAsia="zh-CN"/>
        </w:rPr>
        <w:t>投标人</w:t>
      </w:r>
      <w:r>
        <w:rPr>
          <w:rFonts w:hint="eastAsia" w:ascii="宋体" w:hAnsi="宋体" w:eastAsia="宋体" w:cs="Times New Roman"/>
          <w:color w:val="000000"/>
          <w:sz w:val="24"/>
          <w:szCs w:val="24"/>
          <w:lang w:eastAsia="zh-CN"/>
        </w:rPr>
        <w:t>法律责任的权利。</w:t>
      </w:r>
    </w:p>
    <w:p w14:paraId="017DF55A">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Times New Roman"/>
          <w:color w:val="000000"/>
          <w:sz w:val="24"/>
          <w:szCs w:val="24"/>
          <w:lang w:val="en-US" w:eastAsia="zh-CN"/>
        </w:rPr>
        <w:t>※3.报价方式：</w:t>
      </w:r>
      <w:r>
        <w:rPr>
          <w:rFonts w:hint="eastAsia" w:ascii="宋体" w:hAnsi="宋体" w:eastAsia="宋体" w:cs="宋体"/>
          <w:color w:val="000000"/>
          <w:sz w:val="24"/>
          <w:szCs w:val="24"/>
          <w:lang w:val="en-US" w:eastAsia="zh-CN"/>
        </w:rPr>
        <w:t>①</w:t>
      </w:r>
      <w:r>
        <w:rPr>
          <w:rFonts w:hint="eastAsia" w:ascii="宋体" w:hAnsi="宋体" w:eastAsia="宋体" w:cs="宋体"/>
          <w:color w:val="000000"/>
          <w:sz w:val="24"/>
          <w:szCs w:val="24"/>
        </w:rPr>
        <w:t>本次报价须为人民币报价，</w:t>
      </w:r>
      <w:r>
        <w:rPr>
          <w:rFonts w:hint="eastAsia" w:ascii="宋体" w:hAnsi="宋体" w:eastAsia="宋体" w:cs="宋体"/>
          <w:color w:val="000000"/>
          <w:sz w:val="24"/>
          <w:szCs w:val="24"/>
          <w:lang w:eastAsia="zh-CN"/>
        </w:rPr>
        <w:t>且为包干价，</w:t>
      </w:r>
      <w:r>
        <w:rPr>
          <w:rFonts w:hint="eastAsia" w:ascii="宋体" w:hAnsi="宋体" w:eastAsia="宋体" w:cs="宋体"/>
          <w:color w:val="000000"/>
          <w:sz w:val="24"/>
          <w:szCs w:val="24"/>
        </w:rPr>
        <w:t>包含：完成本项目所需的服务费、人工费及提供服务所需的设备或货物购买（制造）费、辅材费、运输费、装卸费、安装调试费、培训费及各种应纳的税费等完成本项目的所有费用。因</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rPr>
        <w:t>自身原因造成漏报、少报皆由其自行承担责任，采购人不再补偿。</w:t>
      </w:r>
      <w:r>
        <w:rPr>
          <w:rFonts w:hint="eastAsia" w:ascii="宋体" w:hAnsi="宋体" w:eastAsia="宋体" w:cs="宋体"/>
          <w:color w:val="FF0000"/>
          <w:sz w:val="24"/>
          <w:szCs w:val="24"/>
          <w:lang w:eastAsia="zh-CN"/>
        </w:rPr>
        <w:t>（报价表见第六章）</w:t>
      </w:r>
    </w:p>
    <w:p w14:paraId="4E28184B">
      <w:pPr>
        <w:spacing w:line="380" w:lineRule="exact"/>
        <w:ind w:firstLine="480" w:firstLineChars="200"/>
        <w:jc w:val="both"/>
        <w:rPr>
          <w:rFonts w:hint="eastAsia" w:ascii="宋体" w:hAnsi="宋体" w:eastAsia="宋体" w:cs="宋体"/>
          <w:color w:val="FF0000"/>
          <w:sz w:val="24"/>
          <w:szCs w:val="24"/>
          <w:lang w:eastAsia="zh-CN"/>
        </w:rPr>
      </w:pPr>
      <w:r>
        <w:rPr>
          <w:rFonts w:hint="eastAsia" w:ascii="宋体" w:hAnsi="宋体" w:eastAsia="宋体" w:cs="宋体"/>
          <w:color w:val="000000"/>
          <w:sz w:val="24"/>
          <w:szCs w:val="24"/>
          <w:lang w:val="en-US" w:eastAsia="zh-CN"/>
        </w:rPr>
        <w:t>②机房常用硬件及耗材报价要求：</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lang w:val="en-US" w:eastAsia="zh-CN"/>
        </w:rPr>
        <w:t>须对信息机房常用设备及耗材（包含但不限于下表中列明的品目）进行报价，内容须包含品名、品牌、规格型号、单价等信息；合同服务期内，采购人如有相关需求，可直接按成交供应商在比选文件中提交的最终价格由</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lang w:val="en-US" w:eastAsia="zh-CN"/>
        </w:rPr>
        <w:t>供货安装，无需另行询价。注：本报价表自2026年12月5日起执行，耗材费用不计入本次采购预算总额。</w:t>
      </w:r>
      <w:r>
        <w:rPr>
          <w:rFonts w:hint="eastAsia" w:ascii="宋体" w:hAnsi="宋体" w:eastAsia="宋体" w:cs="宋体"/>
          <w:color w:val="FF0000"/>
          <w:sz w:val="24"/>
          <w:szCs w:val="24"/>
          <w:lang w:eastAsia="zh-CN"/>
        </w:rPr>
        <w:t>（报价表见第六章）</w:t>
      </w:r>
    </w:p>
    <w:p w14:paraId="34E73FFD">
      <w:pPr>
        <w:snapToGrid w:val="0"/>
        <w:spacing w:line="400" w:lineRule="exact"/>
        <w:ind w:firstLine="540"/>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※3.服务期限：</w:t>
      </w:r>
    </w:p>
    <w:p w14:paraId="20C15005">
      <w:pPr>
        <w:snapToGrid w:val="0"/>
        <w:spacing w:line="400" w:lineRule="exact"/>
        <w:ind w:firstLine="540"/>
        <w:rPr>
          <w:rFonts w:hint="eastAsia" w:ascii="宋体" w:hAnsi="宋体" w:eastAsia="宋体" w:cs="宋体"/>
          <w:color w:val="000000"/>
          <w:kern w:val="0"/>
          <w:sz w:val="24"/>
          <w:szCs w:val="24"/>
          <w:lang w:val="en-US" w:eastAsia="zh-CN" w:bidi="ar"/>
        </w:rPr>
      </w:pPr>
      <w:r>
        <w:rPr>
          <w:rFonts w:hint="eastAsia" w:ascii="宋体" w:hAnsi="宋体" w:eastAsia="宋体" w:cs="Times New Roman"/>
          <w:color w:val="000000"/>
          <w:sz w:val="24"/>
          <w:szCs w:val="24"/>
          <w:lang w:val="en-US" w:eastAsia="zh-CN"/>
        </w:rPr>
        <w:t>①</w:t>
      </w:r>
      <w:r>
        <w:rPr>
          <w:rFonts w:hint="eastAsia" w:ascii="宋体" w:hAnsi="宋体" w:eastAsia="宋体" w:cs="宋体"/>
          <w:color w:val="000000"/>
          <w:kern w:val="0"/>
          <w:sz w:val="24"/>
          <w:szCs w:val="24"/>
          <w:lang w:val="en-US" w:eastAsia="zh-CN" w:bidi="ar"/>
        </w:rPr>
        <w:t>信息系统及网络安全服务：</w:t>
      </w:r>
      <w:r>
        <w:rPr>
          <w:rFonts w:hint="eastAsia" w:ascii="宋体" w:hAnsi="宋体" w:eastAsia="宋体" w:cs="宋体"/>
          <w:kern w:val="0"/>
          <w:sz w:val="24"/>
          <w:szCs w:val="24"/>
          <w:lang w:val="en-US" w:eastAsia="zh-CN" w:bidi="ar"/>
        </w:rPr>
        <w:t>自合同签订之日起2年</w:t>
      </w:r>
    </w:p>
    <w:p w14:paraId="52F81FF1">
      <w:pPr>
        <w:snapToGrid w:val="0"/>
        <w:spacing w:line="400" w:lineRule="exact"/>
        <w:ind w:firstLine="54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②机房软件运维服务：</w:t>
      </w:r>
      <w:r>
        <w:rPr>
          <w:rFonts w:hint="eastAsia" w:ascii="宋体" w:hAnsi="宋体" w:eastAsia="宋体" w:cs="宋体"/>
          <w:kern w:val="0"/>
          <w:sz w:val="24"/>
          <w:szCs w:val="24"/>
          <w:lang w:val="en-US" w:eastAsia="zh-CN" w:bidi="ar"/>
        </w:rPr>
        <w:t>2026年12月1日至2028年12月1日</w:t>
      </w:r>
    </w:p>
    <w:p w14:paraId="5F713732">
      <w:pPr>
        <w:snapToGrid w:val="0"/>
        <w:spacing w:line="400" w:lineRule="exact"/>
        <w:ind w:firstLine="540"/>
        <w:rPr>
          <w:rFonts w:hint="eastAsia" w:ascii="宋体" w:hAnsi="宋体" w:eastAsia="宋体" w:cs="宋体"/>
          <w:kern w:val="0"/>
          <w:sz w:val="24"/>
          <w:szCs w:val="24"/>
          <w:lang w:val="en-US" w:eastAsia="zh-CN" w:bidi="ar"/>
        </w:rPr>
      </w:pPr>
      <w:r>
        <w:rPr>
          <w:rFonts w:hint="eastAsia" w:ascii="宋体" w:hAnsi="宋体" w:eastAsia="宋体" w:cs="宋体"/>
          <w:color w:val="000000"/>
          <w:kern w:val="0"/>
          <w:sz w:val="24"/>
          <w:szCs w:val="24"/>
          <w:lang w:val="en-US" w:eastAsia="zh-CN" w:bidi="ar"/>
        </w:rPr>
        <w:t>③机房硬件运维服务：</w:t>
      </w:r>
      <w:r>
        <w:rPr>
          <w:rFonts w:hint="eastAsia" w:ascii="宋体" w:hAnsi="宋体" w:eastAsia="宋体" w:cs="宋体"/>
          <w:kern w:val="0"/>
          <w:sz w:val="24"/>
          <w:szCs w:val="24"/>
          <w:lang w:val="en-US" w:eastAsia="zh-CN" w:bidi="ar"/>
        </w:rPr>
        <w:t>2026年12月5日至2028年12月5日</w:t>
      </w:r>
    </w:p>
    <w:p w14:paraId="13A4574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kern w:val="0"/>
          <w:sz w:val="24"/>
          <w:szCs w:val="24"/>
          <w:lang w:val="en-US" w:eastAsia="zh-CN" w:bidi="ar"/>
        </w:rPr>
        <w:t>※4.付款方式：</w:t>
      </w:r>
      <w:r>
        <w:rPr>
          <w:rFonts w:ascii="宋体" w:hAnsi="宋体" w:eastAsia="宋体" w:cs="宋体"/>
          <w:sz w:val="24"/>
          <w:szCs w:val="24"/>
        </w:rPr>
        <w:t>本项目采用半年结算制。每满一个服务半年度，</w:t>
      </w:r>
      <w:r>
        <w:rPr>
          <w:rFonts w:hint="eastAsia" w:ascii="宋体" w:hAnsi="宋体" w:eastAsia="宋体" w:cs="宋体"/>
          <w:sz w:val="24"/>
          <w:szCs w:val="24"/>
          <w:lang w:eastAsia="zh-CN"/>
        </w:rPr>
        <w:t>成交</w:t>
      </w:r>
      <w:r>
        <w:rPr>
          <w:rFonts w:ascii="宋体" w:hAnsi="宋体" w:eastAsia="宋体" w:cs="宋体"/>
          <w:sz w:val="24"/>
          <w:szCs w:val="24"/>
        </w:rPr>
        <w:t>供应商应在该半年度结束后的15个工作日内，向</w:t>
      </w:r>
      <w:r>
        <w:rPr>
          <w:rFonts w:hint="eastAsia" w:ascii="宋体" w:hAnsi="宋体" w:eastAsia="宋体" w:cs="宋体"/>
          <w:sz w:val="24"/>
          <w:szCs w:val="24"/>
          <w:lang w:eastAsia="zh-CN"/>
        </w:rPr>
        <w:t>采购人</w:t>
      </w:r>
      <w:r>
        <w:rPr>
          <w:rFonts w:ascii="宋体" w:hAnsi="宋体" w:eastAsia="宋体" w:cs="宋体"/>
          <w:sz w:val="24"/>
          <w:szCs w:val="24"/>
        </w:rPr>
        <w:t>开具该期服务费的发票</w:t>
      </w:r>
      <w:r>
        <w:rPr>
          <w:rFonts w:hint="eastAsia" w:ascii="宋体" w:hAnsi="宋体" w:eastAsia="宋体" w:cs="宋体"/>
          <w:sz w:val="24"/>
          <w:szCs w:val="24"/>
          <w:lang w:eastAsia="zh-CN"/>
        </w:rPr>
        <w:t>（发票需合法有效）</w:t>
      </w:r>
      <w:r>
        <w:rPr>
          <w:rFonts w:ascii="宋体" w:hAnsi="宋体" w:eastAsia="宋体" w:cs="宋体"/>
          <w:sz w:val="24"/>
          <w:szCs w:val="24"/>
        </w:rPr>
        <w:t>，并提交该半年度服务考核合格证明材料。</w:t>
      </w:r>
      <w:r>
        <w:rPr>
          <w:rFonts w:hint="eastAsia" w:ascii="宋体" w:hAnsi="宋体" w:eastAsia="宋体" w:cs="宋体"/>
          <w:sz w:val="24"/>
          <w:szCs w:val="24"/>
          <w:lang w:eastAsia="zh-CN"/>
        </w:rPr>
        <w:t>采购人</w:t>
      </w:r>
      <w:r>
        <w:rPr>
          <w:rFonts w:ascii="宋体" w:hAnsi="宋体" w:eastAsia="宋体" w:cs="宋体"/>
          <w:sz w:val="24"/>
          <w:szCs w:val="24"/>
        </w:rPr>
        <w:t>在收到前述完整资料并审核无误后</w:t>
      </w:r>
      <w:r>
        <w:rPr>
          <w:rFonts w:hint="eastAsia" w:ascii="宋体" w:hAnsi="宋体" w:eastAsia="宋体" w:cs="宋体"/>
          <w:sz w:val="24"/>
          <w:szCs w:val="24"/>
          <w:lang w:val="en-US" w:eastAsia="zh-CN"/>
        </w:rPr>
        <w:t>30日内支付相应的服务费。</w:t>
      </w:r>
    </w:p>
    <w:p w14:paraId="45A05C77">
      <w:pPr>
        <w:pStyle w:val="5"/>
        <w:adjustRightInd w:val="0"/>
        <w:snapToGrid w:val="0"/>
        <w:spacing w:before="0" w:beforeAutospacing="0" w:line="400" w:lineRule="exact"/>
        <w:ind w:firstLine="482" w:firstLineChars="200"/>
        <w:outlineLvl w:val="9"/>
        <w:rPr>
          <w:rFonts w:hint="default" w:ascii="宋体" w:hAnsi="宋体" w:eastAsia="宋体" w:cs="宋体"/>
          <w:b/>
          <w:color w:val="000000"/>
          <w:sz w:val="24"/>
          <w:lang w:val="en-US" w:eastAsia="zh-CN"/>
        </w:rPr>
      </w:pPr>
      <w:r>
        <w:rPr>
          <w:rFonts w:hint="eastAsia" w:ascii="宋体" w:hAnsi="宋体" w:eastAsia="宋体" w:cs="宋体"/>
          <w:b/>
          <w:color w:val="000000"/>
          <w:sz w:val="24"/>
          <w:lang w:val="en-US" w:eastAsia="zh-CN"/>
        </w:rPr>
        <w:t>※二</w:t>
      </w:r>
      <w:r>
        <w:rPr>
          <w:rFonts w:hint="eastAsia" w:ascii="宋体" w:hAnsi="宋体" w:eastAsia="宋体" w:cs="宋体"/>
          <w:b/>
          <w:color w:val="000000"/>
          <w:sz w:val="24"/>
          <w:lang w:eastAsia="zh-CN"/>
        </w:rPr>
        <w:t>、知识产权</w:t>
      </w:r>
      <w:bookmarkEnd w:id="86"/>
    </w:p>
    <w:bookmarkEnd w:id="87"/>
    <w:bookmarkEnd w:id="88"/>
    <w:bookmarkEnd w:id="89"/>
    <w:bookmarkEnd w:id="90"/>
    <w:p w14:paraId="0E6F88B8">
      <w:pPr>
        <w:snapToGrid w:val="0"/>
        <w:spacing w:line="400" w:lineRule="exact"/>
        <w:ind w:firstLine="540"/>
        <w:rPr>
          <w:rFonts w:hint="eastAsia" w:ascii="宋体" w:hAnsi="宋体"/>
          <w:color w:val="000000"/>
          <w:sz w:val="24"/>
          <w:szCs w:val="24"/>
        </w:rPr>
      </w:pPr>
      <w:bookmarkStart w:id="94" w:name="_Toc7260"/>
      <w:bookmarkStart w:id="95" w:name="_Toc19282"/>
      <w:bookmarkStart w:id="96" w:name="_Toc157002218"/>
      <w:r>
        <w:rPr>
          <w:rFonts w:hint="eastAsia" w:ascii="宋体" w:hAnsi="宋体"/>
          <w:color w:val="000000"/>
          <w:sz w:val="24"/>
          <w:szCs w:val="24"/>
          <w:lang w:eastAsia="zh-CN"/>
        </w:rPr>
        <w:t>采购人</w:t>
      </w:r>
      <w:r>
        <w:rPr>
          <w:rFonts w:hint="eastAsia" w:ascii="宋体" w:hAnsi="宋体"/>
          <w:color w:val="000000"/>
          <w:sz w:val="24"/>
          <w:szCs w:val="24"/>
        </w:rPr>
        <w:t>在中华人民共和国境内使用成交供应商提供的货物及服务时免受第三方提出的侵犯其专利权或其它知识产权的起诉。如果第三方提出侵权指控，成交供应商应承担由此而引起的一切法律责任和费用。</w:t>
      </w:r>
    </w:p>
    <w:p w14:paraId="7FE9E27B">
      <w:pPr>
        <w:pStyle w:val="5"/>
        <w:adjustRightInd w:val="0"/>
        <w:snapToGrid w:val="0"/>
        <w:spacing w:before="0" w:beforeAutospacing="0" w:line="400" w:lineRule="exact"/>
        <w:ind w:firstLine="482" w:firstLineChars="200"/>
        <w:outlineLvl w:val="9"/>
        <w:rPr>
          <w:rFonts w:hint="eastAsia" w:ascii="宋体" w:hAnsi="宋体" w:cs="宋体"/>
          <w:color w:val="000000"/>
          <w:sz w:val="24"/>
        </w:rPr>
      </w:pPr>
      <w:r>
        <w:rPr>
          <w:rFonts w:hint="eastAsia" w:ascii="宋体" w:hAnsi="宋体" w:cs="宋体"/>
          <w:color w:val="000000"/>
          <w:sz w:val="24"/>
          <w:lang w:eastAsia="zh-CN"/>
        </w:rPr>
        <w:t>※三</w:t>
      </w:r>
      <w:r>
        <w:rPr>
          <w:rFonts w:hint="eastAsia" w:ascii="宋体" w:hAnsi="宋体" w:cs="宋体"/>
          <w:color w:val="000000"/>
          <w:sz w:val="24"/>
        </w:rPr>
        <w:t>、其他</w:t>
      </w:r>
      <w:bookmarkEnd w:id="94"/>
      <w:bookmarkEnd w:id="95"/>
      <w:bookmarkEnd w:id="96"/>
    </w:p>
    <w:p w14:paraId="5EEC4742">
      <w:pPr>
        <w:snapToGrid w:val="0"/>
        <w:spacing w:line="400" w:lineRule="exact"/>
        <w:ind w:firstLine="540"/>
        <w:rPr>
          <w:rFonts w:hint="eastAsia" w:ascii="宋体" w:hAnsi="宋体"/>
          <w:color w:val="000000"/>
          <w:sz w:val="24"/>
          <w:szCs w:val="24"/>
        </w:rPr>
      </w:pPr>
      <w:r>
        <w:rPr>
          <w:rFonts w:hint="eastAsia" w:ascii="宋体" w:hAnsi="宋体"/>
          <w:color w:val="000000"/>
          <w:sz w:val="24"/>
          <w:szCs w:val="24"/>
        </w:rPr>
        <w:t>（一）供应商必须在响应文件中对以上条款和服务承诺明确列出，承诺内容必须达到本篇及比选文件其他条款的要求。</w:t>
      </w:r>
    </w:p>
    <w:p w14:paraId="3CEA61F7">
      <w:pPr>
        <w:snapToGrid w:val="0"/>
        <w:spacing w:line="400" w:lineRule="exact"/>
        <w:ind w:firstLine="540"/>
        <w:rPr>
          <w:rFonts w:hint="eastAsia" w:ascii="宋体" w:hAnsi="宋体"/>
          <w:color w:val="000000"/>
          <w:sz w:val="24"/>
          <w:szCs w:val="24"/>
        </w:rPr>
      </w:pPr>
      <w:r>
        <w:rPr>
          <w:rFonts w:hint="eastAsia" w:ascii="宋体" w:hAnsi="宋体"/>
          <w:color w:val="000000"/>
          <w:sz w:val="24"/>
          <w:szCs w:val="24"/>
        </w:rPr>
        <w:t>（二）其他未尽事宜由供需双方在采购合同中详细约定，供应商在响应文件中所承诺的所有经济、技术和商务条款都要纳入成交合同中。</w:t>
      </w:r>
    </w:p>
    <w:p w14:paraId="0F9E7DAB">
      <w:pPr>
        <w:snapToGrid w:val="0"/>
        <w:spacing w:line="400" w:lineRule="exact"/>
        <w:ind w:firstLine="540"/>
        <w:rPr>
          <w:rFonts w:hint="eastAsia" w:ascii="宋体" w:hAnsi="宋体"/>
          <w:color w:val="000000"/>
          <w:sz w:val="24"/>
          <w:szCs w:val="24"/>
        </w:rPr>
      </w:pPr>
      <w:r>
        <w:rPr>
          <w:rFonts w:hint="eastAsia" w:ascii="宋体" w:hAnsi="宋体"/>
          <w:color w:val="000000"/>
          <w:sz w:val="24"/>
          <w:szCs w:val="24"/>
        </w:rPr>
        <w:t>（三）如供应商因违反或不履行响应时承诺的商务和技术要求时，</w:t>
      </w:r>
      <w:r>
        <w:rPr>
          <w:rFonts w:hint="eastAsia" w:ascii="宋体" w:hAnsi="宋体"/>
          <w:color w:val="000000"/>
          <w:sz w:val="24"/>
          <w:szCs w:val="24"/>
          <w:lang w:eastAsia="zh-CN"/>
        </w:rPr>
        <w:t>医院</w:t>
      </w:r>
      <w:r>
        <w:rPr>
          <w:rFonts w:hint="eastAsia" w:ascii="宋体" w:hAnsi="宋体"/>
          <w:color w:val="000000"/>
          <w:sz w:val="24"/>
          <w:szCs w:val="24"/>
        </w:rPr>
        <w:t>保留对技术指标进行验证的权利，发现供应商及原生产厂家提供虚假参数的，</w:t>
      </w:r>
      <w:r>
        <w:rPr>
          <w:rFonts w:hint="eastAsia" w:ascii="宋体" w:hAnsi="宋体"/>
          <w:color w:val="000000"/>
          <w:sz w:val="24"/>
          <w:szCs w:val="24"/>
          <w:lang w:eastAsia="zh-CN"/>
        </w:rPr>
        <w:t>医院</w:t>
      </w:r>
      <w:r>
        <w:rPr>
          <w:rFonts w:hint="eastAsia" w:ascii="宋体" w:hAnsi="宋体"/>
          <w:color w:val="000000"/>
          <w:sz w:val="24"/>
          <w:szCs w:val="24"/>
        </w:rPr>
        <w:t>有权按照相关法律法规的规定，取消违反比选文件约定的成交人成交资格，以及按</w:t>
      </w:r>
      <w:r>
        <w:rPr>
          <w:rFonts w:hint="eastAsia" w:ascii="宋体" w:hAnsi="宋体"/>
          <w:color w:val="000000"/>
          <w:sz w:val="24"/>
          <w:szCs w:val="24"/>
          <w:lang w:eastAsia="zh-CN"/>
        </w:rPr>
        <w:t>医院</w:t>
      </w:r>
      <w:r>
        <w:rPr>
          <w:rFonts w:hint="eastAsia" w:ascii="宋体" w:hAnsi="宋体"/>
          <w:color w:val="000000"/>
          <w:sz w:val="24"/>
          <w:szCs w:val="24"/>
        </w:rPr>
        <w:t>采购制度对其进行处罚。</w:t>
      </w:r>
    </w:p>
    <w:p w14:paraId="7D533F7E">
      <w:pPr>
        <w:snapToGrid w:val="0"/>
        <w:spacing w:line="400" w:lineRule="exact"/>
        <w:ind w:firstLine="540"/>
        <w:rPr>
          <w:rFonts w:hint="eastAsia"/>
          <w:color w:val="000000"/>
        </w:rPr>
      </w:pPr>
      <w:r>
        <w:rPr>
          <w:rFonts w:hint="eastAsia" w:ascii="宋体" w:hAnsi="宋体"/>
          <w:color w:val="000000"/>
          <w:sz w:val="24"/>
          <w:szCs w:val="24"/>
        </w:rPr>
        <w:t>（四）成交供应商应保证所提供的产品和服务整体功能的实现。如发生以下情况，</w:t>
      </w:r>
      <w:r>
        <w:rPr>
          <w:rFonts w:hint="eastAsia" w:ascii="宋体" w:hAnsi="宋体"/>
          <w:color w:val="000000"/>
          <w:sz w:val="24"/>
          <w:szCs w:val="24"/>
          <w:lang w:eastAsia="zh-CN"/>
        </w:rPr>
        <w:t>医院</w:t>
      </w:r>
      <w:r>
        <w:rPr>
          <w:rFonts w:hint="eastAsia" w:ascii="宋体" w:hAnsi="宋体"/>
          <w:color w:val="000000"/>
          <w:sz w:val="24"/>
          <w:szCs w:val="24"/>
        </w:rPr>
        <w:t>有权取消其成交资格：1、如放弃成交项目或在签订合时擅自改变成交状态的；2、所提供的产品和服务在功能、参数等方面未满足比选文件及相关承诺的；3、证实提交了相关虚假文件的。发生上述情况，</w:t>
      </w:r>
      <w:r>
        <w:rPr>
          <w:rFonts w:hint="eastAsia" w:ascii="宋体" w:hAnsi="宋体"/>
          <w:color w:val="000000"/>
          <w:sz w:val="24"/>
          <w:szCs w:val="24"/>
          <w:lang w:eastAsia="zh-CN"/>
        </w:rPr>
        <w:t>医院</w:t>
      </w:r>
      <w:r>
        <w:rPr>
          <w:rFonts w:hint="eastAsia" w:ascii="宋体" w:hAnsi="宋体"/>
          <w:color w:val="000000"/>
          <w:sz w:val="24"/>
          <w:szCs w:val="24"/>
        </w:rPr>
        <w:t>除申请取消其成交资格同时，有权退货及终止合同，成交供应商一切损失自行承担。同时成交供应商违约按本项目“第六篇 合同草案条款”中违约责任条款支付违约金。</w:t>
      </w:r>
      <w:r>
        <w:rPr>
          <w:rFonts w:hint="eastAsia" w:ascii="宋体" w:hAnsi="宋体" w:cs="宋体"/>
          <w:color w:val="000000"/>
          <w:sz w:val="24"/>
          <w:szCs w:val="24"/>
        </w:rPr>
        <w:t xml:space="preserve"> </w:t>
      </w:r>
      <w:r>
        <w:rPr>
          <w:rFonts w:ascii="宋体" w:hAnsi="宋体" w:cs="宋体"/>
          <w:color w:val="000000"/>
          <w:sz w:val="24"/>
          <w:szCs w:val="24"/>
        </w:rPr>
        <w:t xml:space="preserve">                                                                   </w:t>
      </w:r>
    </w:p>
    <w:p w14:paraId="0A395E91">
      <w:pPr>
        <w:snapToGrid w:val="0"/>
        <w:spacing w:line="400" w:lineRule="exact"/>
        <w:ind w:firstLine="540"/>
        <w:rPr>
          <w:rFonts w:hint="eastAsia" w:ascii="宋体" w:hAnsi="宋体"/>
          <w:color w:val="000000"/>
          <w:sz w:val="24"/>
          <w:szCs w:val="24"/>
        </w:rPr>
      </w:pPr>
      <w:r>
        <w:rPr>
          <w:rFonts w:hint="eastAsia" w:ascii="宋体" w:hAnsi="宋体"/>
          <w:color w:val="000000"/>
          <w:sz w:val="24"/>
          <w:szCs w:val="24"/>
        </w:rPr>
        <w:t>（五）比选文件、成交供应商的报价文件及有效承诺文件等，均为签订合同的依据，是合同不可分割的一部分。</w:t>
      </w:r>
    </w:p>
    <w:p w14:paraId="403A9C38">
      <w:pPr>
        <w:spacing w:line="500" w:lineRule="exact"/>
        <w:outlineLvl w:val="0"/>
        <w:rPr>
          <w:rFonts w:hint="eastAsia" w:ascii="宋体" w:hAnsi="宋体" w:eastAsia="宋体" w:cs="宋体"/>
          <w:color w:val="000000"/>
        </w:rPr>
      </w:pPr>
      <w:r>
        <w:rPr>
          <w:rFonts w:hint="eastAsia" w:ascii="宋体" w:hAnsi="宋体" w:eastAsia="宋体" w:cs="宋体"/>
          <w:b/>
          <w:color w:val="000000"/>
        </w:rPr>
        <w:br w:type="page"/>
      </w:r>
      <w:r>
        <w:rPr>
          <w:rFonts w:hint="eastAsia" w:ascii="宋体" w:hAnsi="宋体" w:eastAsia="宋体" w:cs="宋体"/>
          <w:b/>
          <w:color w:val="000000"/>
          <w:lang w:val="en-US" w:eastAsia="zh-CN"/>
        </w:rPr>
        <w:t xml:space="preserve">                </w:t>
      </w:r>
      <w:bookmarkStart w:id="97" w:name="_Toc6795"/>
      <w:r>
        <w:rPr>
          <w:rFonts w:hint="eastAsia" w:ascii="宋体" w:hAnsi="宋体" w:eastAsia="宋体" w:cs="宋体"/>
          <w:b/>
          <w:color w:val="000000"/>
          <w:kern w:val="2"/>
          <w:sz w:val="44"/>
          <w:lang w:val="en-US" w:eastAsia="zh-CN" w:bidi="ar-SA"/>
        </w:rPr>
        <w:t xml:space="preserve">第五篇  </w:t>
      </w:r>
      <w:bookmarkEnd w:id="91"/>
      <w:bookmarkEnd w:id="92"/>
      <w:r>
        <w:rPr>
          <w:rFonts w:hint="eastAsia" w:ascii="宋体" w:hAnsi="宋体" w:eastAsia="宋体" w:cs="宋体"/>
          <w:b/>
          <w:color w:val="000000"/>
          <w:kern w:val="2"/>
          <w:sz w:val="44"/>
          <w:lang w:val="en-US" w:eastAsia="zh-CN" w:bidi="ar-SA"/>
        </w:rPr>
        <w:t>合同草案条款</w:t>
      </w:r>
      <w:bookmarkEnd w:id="93"/>
      <w:bookmarkEnd w:id="97"/>
    </w:p>
    <w:p w14:paraId="68EE1332">
      <w:pPr>
        <w:pStyle w:val="5"/>
        <w:spacing w:before="0" w:beforeAutospacing="0"/>
        <w:ind w:firstLine="562" w:firstLineChars="200"/>
        <w:outlineLvl w:val="9"/>
        <w:rPr>
          <w:rFonts w:hint="eastAsia" w:ascii="宋体" w:hAnsi="宋体" w:eastAsia="宋体" w:cs="宋体"/>
          <w:color w:val="000000"/>
        </w:rPr>
      </w:pPr>
      <w:bookmarkStart w:id="98" w:name="_Toc54718202"/>
      <w:bookmarkStart w:id="99" w:name="_Toc25560"/>
      <w:r>
        <w:rPr>
          <w:rFonts w:hint="eastAsia" w:ascii="宋体" w:hAnsi="宋体" w:eastAsia="宋体" w:cs="宋体"/>
          <w:color w:val="000000"/>
        </w:rPr>
        <w:t>一、定义</w:t>
      </w:r>
      <w:bookmarkEnd w:id="98"/>
      <w:bookmarkEnd w:id="99"/>
    </w:p>
    <w:p w14:paraId="075F261E">
      <w:pPr>
        <w:snapToGrid w:val="0"/>
        <w:spacing w:line="400" w:lineRule="exact"/>
        <w:ind w:firstLine="480" w:firstLineChars="200"/>
        <w:rPr>
          <w:rFonts w:hint="eastAsia" w:ascii="宋体" w:hAnsi="宋体" w:eastAsia="宋体" w:cs="宋体"/>
          <w:color w:val="000000"/>
          <w:sz w:val="24"/>
          <w:szCs w:val="24"/>
        </w:rPr>
      </w:pPr>
      <w:bookmarkStart w:id="100" w:name="_Toc988"/>
      <w:r>
        <w:rPr>
          <w:rFonts w:hint="eastAsia" w:ascii="宋体" w:hAnsi="宋体" w:eastAsia="宋体" w:cs="宋体"/>
          <w:color w:val="000000"/>
          <w:sz w:val="24"/>
          <w:szCs w:val="24"/>
        </w:rPr>
        <w:t>（一）甲方（需方）即重庆医科大学附属永川</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w:t>
      </w:r>
      <w:bookmarkEnd w:id="100"/>
    </w:p>
    <w:p w14:paraId="092F0C03">
      <w:pPr>
        <w:snapToGrid w:val="0"/>
        <w:spacing w:line="400" w:lineRule="exact"/>
        <w:ind w:firstLine="480" w:firstLineChars="200"/>
        <w:rPr>
          <w:rFonts w:hint="eastAsia" w:ascii="宋体" w:hAnsi="宋体" w:eastAsia="宋体" w:cs="宋体"/>
          <w:color w:val="000000"/>
          <w:sz w:val="24"/>
          <w:szCs w:val="24"/>
        </w:rPr>
      </w:pPr>
      <w:bookmarkStart w:id="101" w:name="_Toc22662"/>
      <w:r>
        <w:rPr>
          <w:rFonts w:hint="eastAsia" w:ascii="宋体" w:hAnsi="宋体" w:eastAsia="宋体" w:cs="宋体"/>
          <w:color w:val="000000"/>
          <w:sz w:val="24"/>
          <w:szCs w:val="24"/>
        </w:rPr>
        <w:t>（二）乙方（供方）即成交供应商，是指成交后提供合同货物和服务的自然人、法人及其他组织。</w:t>
      </w:r>
      <w:bookmarkEnd w:id="101"/>
    </w:p>
    <w:p w14:paraId="31A53BDA">
      <w:pPr>
        <w:snapToGrid w:val="0"/>
        <w:spacing w:line="400" w:lineRule="exact"/>
        <w:ind w:firstLine="480" w:firstLineChars="200"/>
        <w:rPr>
          <w:rFonts w:hint="eastAsia" w:ascii="宋体" w:hAnsi="宋体" w:eastAsia="宋体" w:cs="宋体"/>
          <w:color w:val="000000"/>
          <w:sz w:val="24"/>
          <w:szCs w:val="24"/>
        </w:rPr>
      </w:pPr>
      <w:bookmarkStart w:id="102" w:name="_Toc30025"/>
      <w:r>
        <w:rPr>
          <w:rFonts w:hint="eastAsia" w:ascii="宋体" w:hAnsi="宋体" w:eastAsia="宋体" w:cs="宋体"/>
          <w:color w:val="000000"/>
          <w:sz w:val="24"/>
          <w:szCs w:val="24"/>
        </w:rPr>
        <w:t>（三）合同是指由甲乙双方按照比选文件和响应文件的实质性内容，通过协商一致达成的书面协议。</w:t>
      </w:r>
      <w:bookmarkEnd w:id="102"/>
    </w:p>
    <w:p w14:paraId="63AF1902">
      <w:pPr>
        <w:snapToGrid w:val="0"/>
        <w:spacing w:line="400" w:lineRule="exact"/>
        <w:ind w:firstLine="480" w:firstLineChars="200"/>
        <w:rPr>
          <w:rFonts w:hint="eastAsia" w:ascii="宋体" w:hAnsi="宋体" w:eastAsia="宋体" w:cs="宋体"/>
          <w:color w:val="000000"/>
          <w:sz w:val="24"/>
          <w:szCs w:val="24"/>
        </w:rPr>
      </w:pPr>
      <w:bookmarkStart w:id="103" w:name="_Toc2152"/>
      <w:r>
        <w:rPr>
          <w:rFonts w:hint="eastAsia" w:ascii="宋体" w:hAnsi="宋体" w:eastAsia="宋体" w:cs="宋体"/>
          <w:color w:val="000000"/>
          <w:sz w:val="24"/>
          <w:szCs w:val="24"/>
        </w:rPr>
        <w:t>（四）合同价格指以成交价格为依据，在供方全面履行合同义务后，需方应支付给供方的金额。</w:t>
      </w:r>
      <w:bookmarkEnd w:id="103"/>
    </w:p>
    <w:p w14:paraId="05597B40">
      <w:pPr>
        <w:snapToGrid w:val="0"/>
        <w:spacing w:line="400" w:lineRule="exact"/>
        <w:ind w:firstLine="480" w:firstLineChars="200"/>
        <w:rPr>
          <w:rFonts w:hint="eastAsia" w:ascii="宋体" w:hAnsi="宋体" w:eastAsia="宋体" w:cs="宋体"/>
          <w:color w:val="000000"/>
          <w:sz w:val="24"/>
          <w:szCs w:val="24"/>
        </w:rPr>
      </w:pPr>
      <w:bookmarkStart w:id="104" w:name="_Toc9666"/>
      <w:r>
        <w:rPr>
          <w:rFonts w:hint="eastAsia" w:ascii="宋体" w:hAnsi="宋体" w:eastAsia="宋体" w:cs="宋体"/>
          <w:color w:val="000000"/>
          <w:sz w:val="24"/>
          <w:szCs w:val="24"/>
        </w:rPr>
        <w:t>（五）技术资料是指合同货物及其相关的设计、制造、监造、检验、验收等文件（包括图纸、各种文字说明、标准）。</w:t>
      </w:r>
      <w:bookmarkEnd w:id="104"/>
    </w:p>
    <w:p w14:paraId="201DBF35">
      <w:pPr>
        <w:pStyle w:val="5"/>
        <w:spacing w:before="0" w:beforeAutospacing="0"/>
        <w:ind w:firstLine="562" w:firstLineChars="200"/>
        <w:outlineLvl w:val="9"/>
        <w:rPr>
          <w:rFonts w:hint="eastAsia" w:ascii="宋体" w:hAnsi="宋体" w:eastAsia="宋体" w:cs="宋体"/>
          <w:color w:val="000000"/>
        </w:rPr>
      </w:pPr>
      <w:bookmarkStart w:id="105" w:name="_Toc24294"/>
      <w:bookmarkStart w:id="106" w:name="_Toc54718203"/>
      <w:r>
        <w:rPr>
          <w:rFonts w:hint="eastAsia" w:ascii="宋体" w:hAnsi="宋体" w:eastAsia="宋体" w:cs="宋体"/>
          <w:color w:val="000000"/>
        </w:rPr>
        <w:t>二、</w:t>
      </w:r>
      <w:r>
        <w:rPr>
          <w:rFonts w:hint="eastAsia" w:ascii="宋体" w:hAnsi="宋体" w:eastAsia="宋体" w:cs="宋体"/>
          <w:color w:val="000000"/>
          <w:lang w:eastAsia="zh-CN"/>
        </w:rPr>
        <w:t>服务</w:t>
      </w:r>
      <w:r>
        <w:rPr>
          <w:rFonts w:hint="eastAsia" w:ascii="宋体" w:hAnsi="宋体" w:eastAsia="宋体" w:cs="宋体"/>
          <w:color w:val="000000"/>
        </w:rPr>
        <w:t>内容</w:t>
      </w:r>
      <w:bookmarkEnd w:id="105"/>
      <w:bookmarkEnd w:id="106"/>
    </w:p>
    <w:p w14:paraId="52520200">
      <w:pPr>
        <w:snapToGrid w:val="0"/>
        <w:spacing w:line="400" w:lineRule="exact"/>
        <w:ind w:firstLine="480" w:firstLineChars="200"/>
        <w:rPr>
          <w:rFonts w:hint="eastAsia" w:ascii="宋体" w:hAnsi="宋体" w:eastAsia="宋体" w:cs="宋体"/>
          <w:color w:val="000000"/>
          <w:sz w:val="24"/>
          <w:szCs w:val="24"/>
        </w:rPr>
      </w:pPr>
      <w:bookmarkStart w:id="107" w:name="_Toc28967"/>
      <w:r>
        <w:rPr>
          <w:rFonts w:hint="eastAsia" w:ascii="宋体" w:hAnsi="宋体" w:eastAsia="宋体" w:cs="宋体"/>
          <w:color w:val="000000"/>
          <w:sz w:val="24"/>
          <w:szCs w:val="24"/>
        </w:rPr>
        <w:t>合同包括以下内容：服务项目名称、主要内容、</w:t>
      </w:r>
      <w:r>
        <w:rPr>
          <w:rFonts w:hint="eastAsia" w:ascii="宋体" w:hAnsi="宋体" w:eastAsia="宋体" w:cs="宋体"/>
          <w:color w:val="000000"/>
          <w:sz w:val="24"/>
          <w:szCs w:val="24"/>
          <w:lang w:eastAsia="zh-CN"/>
        </w:rPr>
        <w:t>服务</w:t>
      </w:r>
      <w:r>
        <w:rPr>
          <w:rFonts w:hint="eastAsia" w:ascii="宋体" w:hAnsi="宋体" w:eastAsia="宋体" w:cs="宋体"/>
          <w:color w:val="000000"/>
          <w:sz w:val="24"/>
          <w:szCs w:val="24"/>
        </w:rPr>
        <w:t>要求、</w:t>
      </w:r>
      <w:r>
        <w:rPr>
          <w:rFonts w:hint="eastAsia" w:ascii="宋体" w:hAnsi="宋体" w:eastAsia="宋体" w:cs="宋体"/>
          <w:color w:val="000000"/>
          <w:sz w:val="24"/>
          <w:szCs w:val="24"/>
          <w:lang w:eastAsia="zh-CN"/>
        </w:rPr>
        <w:t>付款方式</w:t>
      </w:r>
      <w:r>
        <w:rPr>
          <w:rFonts w:hint="eastAsia" w:ascii="宋体" w:hAnsi="宋体" w:eastAsia="宋体" w:cs="宋体"/>
          <w:color w:val="000000"/>
          <w:sz w:val="24"/>
          <w:szCs w:val="24"/>
        </w:rPr>
        <w:t>等内容。</w:t>
      </w:r>
      <w:bookmarkEnd w:id="107"/>
    </w:p>
    <w:p w14:paraId="0DFDF3AE">
      <w:pPr>
        <w:pStyle w:val="5"/>
        <w:spacing w:before="0" w:beforeAutospacing="0"/>
        <w:ind w:firstLine="562" w:firstLineChars="200"/>
        <w:outlineLvl w:val="9"/>
        <w:rPr>
          <w:rFonts w:hint="eastAsia" w:ascii="宋体" w:hAnsi="宋体" w:eastAsia="宋体" w:cs="宋体"/>
          <w:color w:val="000000"/>
        </w:rPr>
      </w:pPr>
      <w:bookmarkStart w:id="108" w:name="_Toc54718204"/>
      <w:bookmarkStart w:id="109" w:name="_Toc22217"/>
      <w:r>
        <w:rPr>
          <w:rFonts w:hint="eastAsia" w:ascii="宋体" w:hAnsi="宋体" w:eastAsia="宋体" w:cs="宋体"/>
          <w:color w:val="000000"/>
        </w:rPr>
        <w:t>三、合同价格</w:t>
      </w:r>
      <w:bookmarkEnd w:id="108"/>
      <w:bookmarkEnd w:id="109"/>
    </w:p>
    <w:p w14:paraId="20BC6A1A">
      <w:pPr>
        <w:snapToGrid w:val="0"/>
        <w:spacing w:line="400" w:lineRule="exact"/>
        <w:ind w:firstLine="480" w:firstLineChars="200"/>
        <w:rPr>
          <w:rFonts w:hint="eastAsia" w:ascii="宋体" w:hAnsi="宋体" w:eastAsia="宋体" w:cs="宋体"/>
          <w:color w:val="000000"/>
          <w:sz w:val="24"/>
          <w:szCs w:val="24"/>
          <w:lang w:eastAsia="zh-CN"/>
        </w:rPr>
      </w:pPr>
      <w:bookmarkStart w:id="110" w:name="_Toc25177"/>
      <w:r>
        <w:rPr>
          <w:rFonts w:hint="eastAsia" w:ascii="宋体" w:hAnsi="宋体" w:eastAsia="宋体" w:cs="宋体"/>
          <w:color w:val="000000"/>
          <w:sz w:val="24"/>
          <w:szCs w:val="24"/>
        </w:rPr>
        <w:t>（一）合同价格即</w:t>
      </w:r>
      <w:bookmarkEnd w:id="110"/>
      <w:r>
        <w:rPr>
          <w:rFonts w:hint="eastAsia" w:ascii="宋体" w:hAnsi="宋体" w:eastAsia="宋体" w:cs="宋体"/>
          <w:color w:val="000000"/>
          <w:sz w:val="24"/>
          <w:szCs w:val="24"/>
          <w:lang w:eastAsia="zh-CN"/>
        </w:rPr>
        <w:t>不变单价。</w:t>
      </w:r>
    </w:p>
    <w:p w14:paraId="087ABCB5">
      <w:pPr>
        <w:pStyle w:val="5"/>
        <w:spacing w:before="0" w:beforeAutospacing="0"/>
        <w:ind w:firstLine="562" w:firstLineChars="200"/>
        <w:outlineLvl w:val="9"/>
        <w:rPr>
          <w:rFonts w:hint="eastAsia" w:ascii="宋体" w:hAnsi="宋体" w:eastAsia="宋体" w:cs="宋体"/>
          <w:color w:val="000000"/>
        </w:rPr>
      </w:pPr>
      <w:bookmarkStart w:id="111" w:name="_Toc54718205"/>
      <w:bookmarkStart w:id="112" w:name="_Toc20264"/>
      <w:r>
        <w:rPr>
          <w:rFonts w:hint="eastAsia" w:ascii="宋体" w:hAnsi="宋体" w:eastAsia="宋体" w:cs="宋体"/>
          <w:color w:val="000000"/>
        </w:rPr>
        <w:t>四、转包或分包</w:t>
      </w:r>
      <w:bookmarkEnd w:id="111"/>
      <w:bookmarkEnd w:id="112"/>
    </w:p>
    <w:p w14:paraId="50D65D81">
      <w:pPr>
        <w:snapToGrid w:val="0"/>
        <w:spacing w:line="400" w:lineRule="exact"/>
        <w:ind w:firstLine="480" w:firstLineChars="200"/>
        <w:rPr>
          <w:rFonts w:hint="eastAsia" w:ascii="宋体" w:hAnsi="宋体" w:eastAsia="宋体" w:cs="宋体"/>
          <w:color w:val="000000"/>
          <w:sz w:val="24"/>
          <w:szCs w:val="24"/>
        </w:rPr>
      </w:pPr>
      <w:bookmarkStart w:id="113" w:name="_Toc8161"/>
      <w:r>
        <w:rPr>
          <w:rFonts w:hint="eastAsia" w:ascii="宋体" w:hAnsi="宋体" w:eastAsia="宋体" w:cs="宋体"/>
          <w:color w:val="000000"/>
          <w:sz w:val="24"/>
          <w:szCs w:val="24"/>
        </w:rPr>
        <w:t>（一）本合同范围的服务项目，应由乙方直接供应，不得转让他人供应；</w:t>
      </w:r>
      <w:bookmarkEnd w:id="113"/>
    </w:p>
    <w:p w14:paraId="7D72713B">
      <w:pPr>
        <w:snapToGrid w:val="0"/>
        <w:spacing w:line="400" w:lineRule="exact"/>
        <w:ind w:firstLine="480" w:firstLineChars="200"/>
        <w:rPr>
          <w:rFonts w:hint="eastAsia" w:ascii="宋体" w:hAnsi="宋体" w:eastAsia="宋体" w:cs="宋体"/>
          <w:color w:val="000000"/>
          <w:sz w:val="24"/>
          <w:szCs w:val="24"/>
        </w:rPr>
      </w:pPr>
      <w:bookmarkStart w:id="114" w:name="_Toc26926"/>
      <w:r>
        <w:rPr>
          <w:rFonts w:hint="eastAsia" w:ascii="宋体" w:hAnsi="宋体" w:eastAsia="宋体" w:cs="宋体"/>
          <w:color w:val="000000"/>
          <w:sz w:val="24"/>
          <w:szCs w:val="24"/>
        </w:rPr>
        <w:t>（二）非经甲方书面同意，乙方不得将本合同范围的服务项目全部或部分分包给他人供应；</w:t>
      </w:r>
      <w:bookmarkEnd w:id="114"/>
    </w:p>
    <w:p w14:paraId="2AFE9640">
      <w:pPr>
        <w:snapToGrid w:val="0"/>
        <w:spacing w:line="400" w:lineRule="exact"/>
        <w:ind w:firstLine="480" w:firstLineChars="200"/>
        <w:rPr>
          <w:rFonts w:hint="eastAsia" w:ascii="宋体" w:hAnsi="宋体" w:eastAsia="宋体" w:cs="宋体"/>
          <w:color w:val="000000"/>
          <w:sz w:val="24"/>
          <w:szCs w:val="24"/>
        </w:rPr>
      </w:pPr>
      <w:bookmarkStart w:id="115" w:name="_Toc11245"/>
      <w:r>
        <w:rPr>
          <w:rFonts w:hint="eastAsia" w:ascii="宋体" w:hAnsi="宋体" w:eastAsia="宋体" w:cs="宋体"/>
          <w:color w:val="000000"/>
          <w:sz w:val="24"/>
          <w:szCs w:val="24"/>
        </w:rPr>
        <w:t>（三）如有转让和未经甲方同意的分包行为，甲方有权解除合同，没收履约保证金并追究乙方的违约责任。</w:t>
      </w:r>
      <w:bookmarkEnd w:id="115"/>
    </w:p>
    <w:p w14:paraId="4F3D3D14">
      <w:pPr>
        <w:pStyle w:val="5"/>
        <w:spacing w:before="0" w:beforeAutospacing="0"/>
        <w:ind w:firstLine="562" w:firstLineChars="200"/>
        <w:outlineLvl w:val="9"/>
        <w:rPr>
          <w:rFonts w:hint="eastAsia" w:ascii="宋体" w:hAnsi="宋体" w:eastAsia="宋体" w:cs="宋体"/>
          <w:color w:val="000000"/>
        </w:rPr>
      </w:pPr>
      <w:bookmarkStart w:id="116" w:name="_Toc13409"/>
      <w:bookmarkStart w:id="117" w:name="_Toc54718206"/>
      <w:r>
        <w:rPr>
          <w:rFonts w:hint="eastAsia" w:ascii="宋体" w:hAnsi="宋体" w:eastAsia="宋体" w:cs="宋体"/>
          <w:color w:val="000000"/>
        </w:rPr>
        <w:t>五、质量保证及售后服务</w:t>
      </w:r>
      <w:bookmarkEnd w:id="116"/>
      <w:bookmarkEnd w:id="117"/>
    </w:p>
    <w:p w14:paraId="483C61C1">
      <w:pPr>
        <w:snapToGrid w:val="0"/>
        <w:spacing w:line="400" w:lineRule="exact"/>
        <w:ind w:firstLine="480" w:firstLineChars="200"/>
        <w:rPr>
          <w:rFonts w:hint="eastAsia" w:ascii="宋体" w:hAnsi="宋体" w:eastAsia="宋体" w:cs="宋体"/>
          <w:color w:val="000000"/>
          <w:sz w:val="24"/>
          <w:szCs w:val="24"/>
        </w:rPr>
      </w:pPr>
      <w:bookmarkStart w:id="118" w:name="_Toc21178"/>
      <w:bookmarkStart w:id="119" w:name="_Toc54718207"/>
      <w:r>
        <w:rPr>
          <w:rFonts w:hint="eastAsia" w:ascii="宋体" w:hAnsi="宋体" w:eastAsia="宋体" w:cs="宋体"/>
          <w:color w:val="000000"/>
          <w:sz w:val="24"/>
          <w:szCs w:val="24"/>
        </w:rPr>
        <w:t>（一）乙方提供的服务需符合国家相关法律法规，并满足甲方提出的相关要求。</w:t>
      </w:r>
    </w:p>
    <w:p w14:paraId="245B376B">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（二）如在服务过程中出现争议问题，乙方应同本项目“第四篇 项目商务要求”对质量保证及售后服务内容的约定。</w:t>
      </w:r>
    </w:p>
    <w:bookmarkEnd w:id="118"/>
    <w:p w14:paraId="54EBFD82">
      <w:pPr>
        <w:pStyle w:val="5"/>
        <w:spacing w:before="0" w:beforeAutospacing="0"/>
        <w:ind w:firstLine="562" w:firstLineChars="200"/>
        <w:outlineLvl w:val="9"/>
        <w:rPr>
          <w:rFonts w:hint="eastAsia" w:ascii="宋体" w:hAnsi="宋体" w:eastAsia="宋体" w:cs="宋体"/>
          <w:color w:val="000000"/>
        </w:rPr>
      </w:pPr>
      <w:bookmarkStart w:id="120" w:name="_Toc3686"/>
      <w:r>
        <w:rPr>
          <w:rFonts w:hint="eastAsia" w:ascii="宋体" w:hAnsi="宋体" w:eastAsia="宋体" w:cs="宋体"/>
          <w:color w:val="000000"/>
        </w:rPr>
        <w:t>六、付款</w:t>
      </w:r>
      <w:bookmarkEnd w:id="119"/>
      <w:bookmarkEnd w:id="120"/>
    </w:p>
    <w:p w14:paraId="1F49F3E2">
      <w:pPr>
        <w:snapToGrid w:val="0"/>
        <w:spacing w:line="400" w:lineRule="exact"/>
        <w:ind w:firstLine="480" w:firstLineChars="200"/>
        <w:rPr>
          <w:rFonts w:hint="eastAsia" w:ascii="宋体" w:hAnsi="宋体" w:eastAsia="宋体" w:cs="宋体"/>
          <w:color w:val="000000"/>
          <w:sz w:val="24"/>
          <w:szCs w:val="24"/>
        </w:rPr>
      </w:pPr>
      <w:bookmarkStart w:id="121" w:name="_Toc23183"/>
      <w:r>
        <w:rPr>
          <w:rFonts w:hint="eastAsia" w:ascii="宋体" w:hAnsi="宋体" w:eastAsia="宋体" w:cs="宋体"/>
          <w:color w:val="000000"/>
          <w:sz w:val="24"/>
          <w:szCs w:val="24"/>
        </w:rPr>
        <w:t>（一）本合同使用货币币制如未作特别说明均为人民币。</w:t>
      </w:r>
      <w:bookmarkEnd w:id="121"/>
    </w:p>
    <w:p w14:paraId="31B9A680">
      <w:pPr>
        <w:snapToGrid w:val="0"/>
        <w:spacing w:line="400" w:lineRule="exact"/>
        <w:ind w:firstLine="480" w:firstLineChars="200"/>
        <w:rPr>
          <w:rFonts w:hint="eastAsia" w:ascii="宋体" w:hAnsi="宋体" w:eastAsia="宋体" w:cs="宋体"/>
          <w:color w:val="000000"/>
          <w:sz w:val="24"/>
          <w:szCs w:val="24"/>
        </w:rPr>
      </w:pPr>
      <w:bookmarkStart w:id="122" w:name="_Toc8880"/>
      <w:r>
        <w:rPr>
          <w:rFonts w:hint="eastAsia" w:ascii="宋体" w:hAnsi="宋体" w:eastAsia="宋体" w:cs="宋体"/>
          <w:color w:val="000000"/>
          <w:sz w:val="24"/>
          <w:szCs w:val="24"/>
        </w:rPr>
        <w:t>（二）付款方式：银行转账。</w:t>
      </w:r>
      <w:bookmarkEnd w:id="122"/>
    </w:p>
    <w:p w14:paraId="67ED6475">
      <w:pPr>
        <w:snapToGrid w:val="0"/>
        <w:spacing w:line="400" w:lineRule="exact"/>
        <w:ind w:firstLine="480" w:firstLineChars="200"/>
        <w:rPr>
          <w:rFonts w:hint="eastAsia" w:ascii="宋体" w:hAnsi="宋体" w:eastAsia="宋体" w:cs="宋体"/>
          <w:color w:val="000000"/>
          <w:sz w:val="24"/>
          <w:szCs w:val="24"/>
        </w:rPr>
      </w:pPr>
      <w:bookmarkStart w:id="123" w:name="_Toc28037"/>
      <w:r>
        <w:rPr>
          <w:rFonts w:hint="eastAsia" w:ascii="宋体" w:hAnsi="宋体" w:eastAsia="宋体" w:cs="宋体"/>
          <w:color w:val="000000"/>
          <w:sz w:val="24"/>
          <w:szCs w:val="24"/>
        </w:rPr>
        <w:t>（三）付款方法：同本项目“第四篇 项目商务要求”中关于付款方式的约定。</w:t>
      </w:r>
      <w:bookmarkEnd w:id="123"/>
    </w:p>
    <w:p w14:paraId="78CCDF81">
      <w:pPr>
        <w:pStyle w:val="5"/>
        <w:spacing w:before="0" w:beforeAutospacing="0"/>
        <w:ind w:firstLine="562" w:firstLineChars="200"/>
        <w:outlineLvl w:val="9"/>
        <w:rPr>
          <w:rFonts w:hint="eastAsia" w:ascii="宋体" w:hAnsi="宋体" w:eastAsia="宋体" w:cs="宋体"/>
          <w:color w:val="000000"/>
        </w:rPr>
      </w:pPr>
      <w:bookmarkStart w:id="124" w:name="_Toc17719"/>
      <w:bookmarkStart w:id="125" w:name="_Toc54718210"/>
      <w:bookmarkStart w:id="126" w:name="_Toc54718211"/>
      <w:r>
        <w:rPr>
          <w:rFonts w:hint="eastAsia" w:ascii="宋体" w:hAnsi="宋体" w:eastAsia="宋体" w:cs="宋体"/>
          <w:color w:val="000000"/>
          <w:lang w:eastAsia="zh-CN"/>
        </w:rPr>
        <w:t>七</w:t>
      </w:r>
      <w:r>
        <w:rPr>
          <w:rFonts w:hint="eastAsia" w:ascii="宋体" w:hAnsi="宋体" w:eastAsia="宋体" w:cs="宋体"/>
          <w:color w:val="000000"/>
        </w:rPr>
        <w:t>、知识产权</w:t>
      </w:r>
      <w:bookmarkEnd w:id="124"/>
      <w:bookmarkEnd w:id="125"/>
    </w:p>
    <w:p w14:paraId="6385C16D">
      <w:pPr>
        <w:snapToGrid w:val="0"/>
        <w:spacing w:line="400" w:lineRule="exact"/>
        <w:ind w:firstLine="480" w:firstLineChars="200"/>
        <w:rPr>
          <w:rFonts w:hint="eastAsia" w:ascii="宋体" w:hAnsi="宋体" w:eastAsia="宋体" w:cs="宋体"/>
          <w:color w:val="000000"/>
          <w:sz w:val="24"/>
          <w:szCs w:val="24"/>
        </w:rPr>
      </w:pPr>
      <w:bookmarkStart w:id="127" w:name="_Toc11938"/>
      <w:r>
        <w:rPr>
          <w:rFonts w:hint="eastAsia" w:ascii="宋体" w:hAnsi="宋体" w:eastAsia="宋体" w:cs="宋体"/>
          <w:color w:val="000000"/>
          <w:sz w:val="24"/>
          <w:szCs w:val="24"/>
        </w:rPr>
        <w:t>（一）甲方在中华人民共和国境内使用乙方提供的服务时免受第三方提出的侵犯其专利权或其它知识产权的起诉。如果第三方提出侵权指控，乙方承担由此而引起的一切法律责任和费用。</w:t>
      </w:r>
      <w:bookmarkEnd w:id="127"/>
    </w:p>
    <w:p w14:paraId="56149CF6">
      <w:pPr>
        <w:snapToGrid w:val="0"/>
        <w:spacing w:line="400" w:lineRule="exact"/>
        <w:ind w:firstLine="480" w:firstLineChars="200"/>
        <w:rPr>
          <w:rFonts w:hint="eastAsia" w:ascii="宋体" w:hAnsi="宋体" w:eastAsia="宋体" w:cs="宋体"/>
          <w:color w:val="000000"/>
          <w:sz w:val="24"/>
          <w:szCs w:val="24"/>
        </w:rPr>
      </w:pPr>
      <w:bookmarkStart w:id="128" w:name="_Toc17287"/>
      <w:r>
        <w:rPr>
          <w:rFonts w:hint="eastAsia" w:ascii="宋体" w:hAnsi="宋体" w:eastAsia="宋体" w:cs="宋体"/>
          <w:color w:val="000000"/>
          <w:sz w:val="24"/>
          <w:szCs w:val="24"/>
        </w:rPr>
        <w:t>（二）若涉及软件开发等服务类项目知识产权的，知识产权归</w:t>
      </w:r>
      <w:r>
        <w:rPr>
          <w:rFonts w:hint="eastAsia" w:ascii="宋体" w:hAnsi="宋体" w:eastAsia="宋体" w:cs="宋体"/>
          <w:color w:val="000000"/>
          <w:sz w:val="24"/>
          <w:szCs w:val="24"/>
          <w:lang w:eastAsia="zh-CN"/>
        </w:rPr>
        <w:t>医院</w:t>
      </w:r>
      <w:r>
        <w:rPr>
          <w:rFonts w:hint="eastAsia" w:ascii="宋体" w:hAnsi="宋体" w:eastAsia="宋体" w:cs="宋体"/>
          <w:color w:val="000000"/>
          <w:sz w:val="24"/>
          <w:szCs w:val="24"/>
        </w:rPr>
        <w:t>所有。</w:t>
      </w:r>
      <w:bookmarkEnd w:id="128"/>
    </w:p>
    <w:p w14:paraId="43449ABD">
      <w:pPr>
        <w:pStyle w:val="5"/>
        <w:spacing w:before="0" w:beforeAutospacing="0"/>
        <w:ind w:firstLine="562" w:firstLineChars="200"/>
        <w:outlineLvl w:val="9"/>
        <w:rPr>
          <w:rFonts w:hint="eastAsia" w:ascii="宋体" w:hAnsi="宋体" w:eastAsia="宋体" w:cs="宋体"/>
          <w:color w:val="000000"/>
        </w:rPr>
      </w:pPr>
      <w:bookmarkStart w:id="129" w:name="_Toc27730"/>
      <w:r>
        <w:rPr>
          <w:rFonts w:hint="eastAsia" w:ascii="宋体" w:hAnsi="宋体" w:eastAsia="宋体" w:cs="宋体"/>
          <w:color w:val="000000"/>
          <w:lang w:eastAsia="zh-CN"/>
        </w:rPr>
        <w:t>八</w:t>
      </w:r>
      <w:r>
        <w:rPr>
          <w:rFonts w:hint="eastAsia" w:ascii="宋体" w:hAnsi="宋体" w:eastAsia="宋体" w:cs="宋体"/>
          <w:color w:val="000000"/>
        </w:rPr>
        <w:t>、合同争议的解决</w:t>
      </w:r>
      <w:bookmarkEnd w:id="126"/>
      <w:bookmarkEnd w:id="129"/>
    </w:p>
    <w:p w14:paraId="35CB95B3">
      <w:pPr>
        <w:snapToGrid w:val="0"/>
        <w:spacing w:line="400" w:lineRule="exact"/>
        <w:ind w:firstLine="480" w:firstLineChars="200"/>
        <w:jc w:val="left"/>
        <w:rPr>
          <w:rFonts w:hint="eastAsia" w:ascii="宋体" w:hAnsi="宋体" w:eastAsia="宋体" w:cs="宋体"/>
          <w:color w:val="000000"/>
          <w:sz w:val="24"/>
          <w:szCs w:val="24"/>
        </w:rPr>
      </w:pPr>
      <w:bookmarkStart w:id="130" w:name="_Toc5382"/>
      <w:r>
        <w:rPr>
          <w:rFonts w:hint="eastAsia" w:ascii="宋体" w:hAnsi="宋体" w:eastAsia="宋体" w:cs="宋体"/>
          <w:color w:val="000000"/>
          <w:sz w:val="24"/>
          <w:szCs w:val="24"/>
        </w:rPr>
        <w:t>（</w:t>
      </w:r>
      <w:bookmarkEnd w:id="130"/>
      <w:r>
        <w:rPr>
          <w:rFonts w:hint="eastAsia" w:ascii="宋体" w:hAnsi="宋体" w:eastAsia="宋体" w:cs="宋体"/>
          <w:color w:val="000000"/>
          <w:sz w:val="24"/>
          <w:szCs w:val="24"/>
        </w:rPr>
        <w:t>（一）当事人友好协商达成一致</w:t>
      </w:r>
    </w:p>
    <w:p w14:paraId="090B1009">
      <w:pPr>
        <w:snapToGrid w:val="0"/>
        <w:spacing w:line="400" w:lineRule="exact"/>
        <w:ind w:firstLine="480" w:firstLineChars="200"/>
        <w:jc w:val="left"/>
        <w:rPr>
          <w:rFonts w:hint="eastAsia" w:ascii="宋体" w:hAnsi="宋体" w:eastAsia="宋体" w:cs="宋体"/>
          <w:color w:val="000000"/>
          <w:sz w:val="24"/>
          <w:szCs w:val="24"/>
        </w:rPr>
      </w:pPr>
      <w:bookmarkStart w:id="131" w:name="_Toc29926"/>
      <w:r>
        <w:rPr>
          <w:rFonts w:hint="eastAsia" w:ascii="宋体" w:hAnsi="宋体" w:eastAsia="宋体" w:cs="宋体"/>
          <w:color w:val="000000"/>
          <w:sz w:val="24"/>
          <w:szCs w:val="24"/>
        </w:rPr>
        <w:t>（二）</w:t>
      </w:r>
      <w:bookmarkEnd w:id="131"/>
      <w:r>
        <w:rPr>
          <w:rFonts w:hint="eastAsia" w:ascii="宋体" w:hAnsi="宋体" w:eastAsia="宋体" w:cs="宋体"/>
          <w:color w:val="000000"/>
          <w:sz w:val="24"/>
          <w:szCs w:val="24"/>
        </w:rPr>
        <w:t>在60天内当事人协商不能达成协议的，任何一方均可向永川区人民法院起诉。</w:t>
      </w:r>
    </w:p>
    <w:p w14:paraId="1A1E160F">
      <w:pPr>
        <w:pStyle w:val="5"/>
        <w:spacing w:before="0" w:beforeAutospacing="0"/>
        <w:ind w:firstLine="562" w:firstLineChars="200"/>
        <w:outlineLvl w:val="9"/>
        <w:rPr>
          <w:rFonts w:hint="eastAsia" w:ascii="宋体" w:hAnsi="宋体" w:eastAsia="宋体" w:cs="宋体"/>
          <w:color w:val="000000"/>
        </w:rPr>
      </w:pPr>
      <w:bookmarkStart w:id="132" w:name="_Toc54718212"/>
      <w:bookmarkStart w:id="133" w:name="_Toc1481"/>
      <w:r>
        <w:rPr>
          <w:rFonts w:hint="eastAsia" w:ascii="宋体" w:hAnsi="宋体" w:eastAsia="宋体" w:cs="宋体"/>
          <w:color w:val="000000"/>
          <w:lang w:eastAsia="zh-CN"/>
        </w:rPr>
        <w:t>九</w:t>
      </w:r>
      <w:r>
        <w:rPr>
          <w:rFonts w:hint="eastAsia" w:ascii="宋体" w:hAnsi="宋体" w:eastAsia="宋体" w:cs="宋体"/>
          <w:color w:val="000000"/>
        </w:rPr>
        <w:t>、违约责任</w:t>
      </w:r>
      <w:bookmarkEnd w:id="132"/>
      <w:bookmarkEnd w:id="133"/>
    </w:p>
    <w:p w14:paraId="1DE5A69B">
      <w:pPr>
        <w:snapToGrid w:val="0"/>
        <w:spacing w:line="400" w:lineRule="exact"/>
        <w:ind w:firstLine="480" w:firstLineChars="200"/>
        <w:rPr>
          <w:rFonts w:hint="eastAsia" w:ascii="宋体" w:hAnsi="宋体" w:eastAsia="宋体" w:cs="宋体"/>
          <w:color w:val="000000"/>
          <w:sz w:val="24"/>
          <w:szCs w:val="24"/>
        </w:rPr>
      </w:pPr>
      <w:bookmarkStart w:id="134" w:name="_Toc54718213"/>
      <w:r>
        <w:rPr>
          <w:rFonts w:hint="eastAsia" w:ascii="宋体" w:hAnsi="宋体" w:eastAsia="宋体" w:cs="宋体"/>
          <w:color w:val="000000"/>
          <w:sz w:val="24"/>
          <w:szCs w:val="24"/>
        </w:rPr>
        <w:t>按《中华人民共和国民法典》有关条款，或由供需双方约定。</w:t>
      </w:r>
    </w:p>
    <w:p w14:paraId="3D2F6506">
      <w:pPr>
        <w:pStyle w:val="5"/>
        <w:spacing w:before="0" w:beforeAutospacing="0"/>
        <w:ind w:firstLine="562" w:firstLineChars="200"/>
        <w:outlineLvl w:val="9"/>
        <w:rPr>
          <w:rFonts w:hint="eastAsia" w:ascii="宋体" w:hAnsi="宋体" w:eastAsia="宋体" w:cs="宋体"/>
          <w:color w:val="000000"/>
        </w:rPr>
      </w:pPr>
      <w:bookmarkStart w:id="135" w:name="_Toc30911"/>
      <w:r>
        <w:rPr>
          <w:rFonts w:hint="eastAsia" w:ascii="宋体" w:hAnsi="宋体" w:eastAsia="宋体" w:cs="宋体"/>
          <w:color w:val="000000"/>
          <w:lang w:eastAsia="zh-CN"/>
        </w:rPr>
        <w:t>十</w:t>
      </w:r>
      <w:r>
        <w:rPr>
          <w:rFonts w:hint="eastAsia" w:ascii="宋体" w:hAnsi="宋体" w:eastAsia="宋体" w:cs="宋体"/>
          <w:color w:val="000000"/>
        </w:rPr>
        <w:t>、合同生效及其它</w:t>
      </w:r>
      <w:bookmarkEnd w:id="134"/>
      <w:bookmarkEnd w:id="135"/>
    </w:p>
    <w:p w14:paraId="4678DD97">
      <w:pPr>
        <w:snapToGrid w:val="0"/>
        <w:spacing w:line="400" w:lineRule="exact"/>
        <w:ind w:firstLine="480" w:firstLineChars="200"/>
        <w:rPr>
          <w:rFonts w:hint="eastAsia" w:ascii="宋体" w:hAnsi="宋体" w:eastAsia="宋体" w:cs="宋体"/>
          <w:color w:val="000000"/>
          <w:sz w:val="24"/>
          <w:szCs w:val="24"/>
        </w:rPr>
      </w:pPr>
      <w:bookmarkStart w:id="136" w:name="_Toc7071"/>
      <w:r>
        <w:rPr>
          <w:rFonts w:hint="eastAsia" w:ascii="宋体" w:hAnsi="宋体" w:eastAsia="宋体" w:cs="宋体"/>
          <w:color w:val="000000"/>
          <w:sz w:val="24"/>
          <w:szCs w:val="24"/>
        </w:rPr>
        <w:t>（一）合同生效及其效力应符合《中华人民共和国民法典》有关规定。</w:t>
      </w:r>
      <w:bookmarkEnd w:id="136"/>
    </w:p>
    <w:p w14:paraId="5DCFB057">
      <w:pPr>
        <w:snapToGrid w:val="0"/>
        <w:spacing w:line="400" w:lineRule="exact"/>
        <w:ind w:firstLine="480" w:firstLineChars="200"/>
        <w:rPr>
          <w:rFonts w:hint="eastAsia" w:ascii="宋体" w:hAnsi="宋体" w:eastAsia="宋体" w:cs="宋体"/>
          <w:color w:val="000000"/>
          <w:sz w:val="24"/>
          <w:szCs w:val="24"/>
        </w:rPr>
      </w:pPr>
      <w:bookmarkStart w:id="137" w:name="_Toc26923"/>
      <w:r>
        <w:rPr>
          <w:rFonts w:hint="eastAsia" w:ascii="宋体" w:hAnsi="宋体" w:eastAsia="宋体" w:cs="宋体"/>
          <w:color w:val="000000"/>
          <w:sz w:val="24"/>
          <w:szCs w:val="24"/>
        </w:rPr>
        <w:t>（二）合同应经当事人法定代表人或委托代理人签字，加盖双方合同专用章或公章。</w:t>
      </w:r>
      <w:bookmarkEnd w:id="137"/>
    </w:p>
    <w:p w14:paraId="07BE6057">
      <w:pPr>
        <w:snapToGrid w:val="0"/>
        <w:spacing w:line="400" w:lineRule="exact"/>
        <w:ind w:firstLine="480" w:firstLineChars="200"/>
        <w:rPr>
          <w:rFonts w:hint="eastAsia" w:ascii="宋体" w:hAnsi="宋体" w:eastAsia="宋体" w:cs="宋体"/>
          <w:color w:val="000000"/>
          <w:sz w:val="24"/>
          <w:szCs w:val="24"/>
        </w:rPr>
      </w:pPr>
      <w:bookmarkStart w:id="138" w:name="_Toc21580"/>
      <w:r>
        <w:rPr>
          <w:rFonts w:hint="eastAsia" w:ascii="宋体" w:hAnsi="宋体" w:eastAsia="宋体" w:cs="宋体"/>
          <w:color w:val="000000"/>
          <w:sz w:val="24"/>
          <w:szCs w:val="24"/>
        </w:rPr>
        <w:t>（三）合同所包括附件，是合同不可分割的一部分，具有同等法法律效力。</w:t>
      </w:r>
      <w:bookmarkEnd w:id="138"/>
    </w:p>
    <w:p w14:paraId="5EC56815">
      <w:pPr>
        <w:snapToGrid w:val="0"/>
        <w:spacing w:line="400" w:lineRule="exact"/>
        <w:ind w:firstLine="480" w:firstLineChars="200"/>
        <w:rPr>
          <w:rFonts w:hint="eastAsia" w:ascii="宋体" w:hAnsi="宋体" w:eastAsia="宋体" w:cs="宋体"/>
          <w:color w:val="000000"/>
          <w:sz w:val="24"/>
          <w:szCs w:val="24"/>
        </w:rPr>
      </w:pPr>
      <w:bookmarkStart w:id="139" w:name="_Toc28233"/>
      <w:r>
        <w:rPr>
          <w:rFonts w:hint="eastAsia" w:ascii="宋体" w:hAnsi="宋体" w:eastAsia="宋体" w:cs="宋体"/>
          <w:color w:val="000000"/>
          <w:sz w:val="24"/>
          <w:szCs w:val="24"/>
        </w:rPr>
        <w:t>（四）合同需提供担保的，按《中华人民共和国担保法》规定执行。</w:t>
      </w:r>
      <w:bookmarkEnd w:id="139"/>
    </w:p>
    <w:p w14:paraId="516654CD">
      <w:pPr>
        <w:snapToGrid w:val="0"/>
        <w:spacing w:line="400" w:lineRule="exact"/>
        <w:ind w:firstLine="480" w:firstLineChars="200"/>
        <w:rPr>
          <w:rFonts w:hint="eastAsia" w:ascii="宋体" w:hAnsi="宋体" w:eastAsia="宋体" w:cs="宋体"/>
          <w:color w:val="000000"/>
          <w:sz w:val="24"/>
          <w:szCs w:val="24"/>
        </w:rPr>
      </w:pPr>
      <w:bookmarkStart w:id="140" w:name="_Toc18983"/>
      <w:r>
        <w:rPr>
          <w:rFonts w:hint="eastAsia" w:ascii="宋体" w:hAnsi="宋体" w:eastAsia="宋体" w:cs="宋体"/>
          <w:color w:val="000000"/>
          <w:sz w:val="24"/>
          <w:szCs w:val="24"/>
        </w:rPr>
        <w:t>（五）本合同条件未尽事宜依照《中华人民共和国民法典》，由供需双方共同协商确定。</w:t>
      </w:r>
      <w:bookmarkEnd w:id="140"/>
    </w:p>
    <w:p w14:paraId="6F0B9763">
      <w:pPr>
        <w:snapToGrid w:val="0"/>
        <w:spacing w:line="400" w:lineRule="exact"/>
        <w:ind w:firstLine="480" w:firstLineChars="200"/>
        <w:rPr>
          <w:rFonts w:hint="eastAsia" w:ascii="宋体" w:hAnsi="宋体" w:eastAsia="宋体" w:cs="宋体"/>
          <w:color w:val="000000"/>
          <w:sz w:val="24"/>
          <w:szCs w:val="24"/>
        </w:rPr>
        <w:sectPr>
          <w:footerReference r:id="rId14" w:type="default"/>
          <w:pgSz w:w="11907" w:h="16840"/>
          <w:pgMar w:top="1134" w:right="1191" w:bottom="1134" w:left="1304" w:header="964" w:footer="992" w:gutter="0"/>
          <w:pgNumType w:fmt="numberInDash"/>
          <w:cols w:space="720" w:num="1"/>
          <w:docGrid w:linePitch="312" w:charSpace="0"/>
        </w:sectPr>
      </w:pPr>
    </w:p>
    <w:p w14:paraId="65E0E4B8">
      <w:pPr>
        <w:pStyle w:val="4"/>
        <w:rPr>
          <w:rFonts w:hint="eastAsia" w:ascii="宋体" w:hAnsi="宋体" w:eastAsia="宋体" w:cs="宋体"/>
          <w:color w:val="000000"/>
        </w:rPr>
      </w:pPr>
      <w:bookmarkStart w:id="141" w:name="_Hlt41879464"/>
      <w:bookmarkEnd w:id="141"/>
      <w:bookmarkStart w:id="142" w:name="_Toc18852"/>
      <w:bookmarkStart w:id="143" w:name="_Toc24253"/>
      <w:bookmarkStart w:id="144" w:name="_Toc12789072"/>
      <w:bookmarkStart w:id="145" w:name="_Toc31586"/>
      <w:bookmarkStart w:id="146" w:name="_Toc54718214"/>
      <w:bookmarkStart w:id="147" w:name="_Toc31990"/>
      <w:r>
        <w:rPr>
          <w:rFonts w:hint="eastAsia" w:ascii="宋体" w:hAnsi="宋体" w:eastAsia="宋体" w:cs="宋体"/>
          <w:color w:val="000000"/>
        </w:rPr>
        <w:t>第六篇  响应文件格式要求</w:t>
      </w:r>
      <w:bookmarkEnd w:id="142"/>
      <w:bookmarkEnd w:id="143"/>
      <w:bookmarkEnd w:id="144"/>
      <w:bookmarkEnd w:id="145"/>
      <w:bookmarkEnd w:id="146"/>
      <w:bookmarkEnd w:id="147"/>
    </w:p>
    <w:p w14:paraId="5F48A5D3">
      <w:pPr>
        <w:pStyle w:val="5"/>
        <w:spacing w:before="0" w:beforeAutospacing="0"/>
        <w:ind w:firstLine="562" w:firstLineChars="200"/>
        <w:outlineLvl w:val="9"/>
        <w:rPr>
          <w:rFonts w:hint="eastAsia" w:ascii="宋体" w:hAnsi="宋体" w:eastAsia="宋体" w:cs="宋体"/>
          <w:color w:val="000000"/>
        </w:rPr>
      </w:pPr>
      <w:bookmarkStart w:id="148" w:name="_Toc54718215"/>
      <w:bookmarkStart w:id="149" w:name="_Toc14674"/>
      <w:r>
        <w:rPr>
          <w:rFonts w:hint="eastAsia" w:ascii="宋体" w:hAnsi="宋体" w:eastAsia="宋体" w:cs="宋体"/>
          <w:color w:val="000000"/>
        </w:rPr>
        <w:t>一、经济部分</w:t>
      </w:r>
      <w:bookmarkEnd w:id="148"/>
      <w:bookmarkEnd w:id="149"/>
    </w:p>
    <w:p w14:paraId="55192350">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（一）比选报价函</w:t>
      </w:r>
    </w:p>
    <w:p w14:paraId="1A9C0935">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（二）明细报价表</w:t>
      </w:r>
      <w:bookmarkStart w:id="150" w:name="_Toc54718217"/>
    </w:p>
    <w:p w14:paraId="38BDA289">
      <w:pPr>
        <w:pStyle w:val="5"/>
        <w:spacing w:before="0" w:beforeAutospacing="0"/>
        <w:ind w:firstLine="562" w:firstLineChars="200"/>
        <w:outlineLvl w:val="9"/>
        <w:rPr>
          <w:rFonts w:hint="eastAsia" w:ascii="宋体" w:hAnsi="宋体" w:eastAsia="宋体" w:cs="宋体"/>
          <w:color w:val="000000"/>
        </w:rPr>
      </w:pPr>
      <w:bookmarkStart w:id="151" w:name="_Toc26711"/>
      <w:r>
        <w:rPr>
          <w:rFonts w:hint="eastAsia" w:ascii="宋体" w:hAnsi="宋体" w:eastAsia="宋体" w:cs="宋体"/>
          <w:color w:val="000000"/>
        </w:rPr>
        <w:t>二、服务部分</w:t>
      </w:r>
      <w:bookmarkEnd w:id="151"/>
    </w:p>
    <w:p w14:paraId="738A5127">
      <w:pPr>
        <w:snapToGrid w:val="0"/>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（一）按照“第三篇 项目服务需求”提供相应资料</w:t>
      </w:r>
    </w:p>
    <w:p w14:paraId="06AF530A">
      <w:pPr>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二</w:t>
      </w:r>
      <w:r>
        <w:rPr>
          <w:rFonts w:hint="eastAsia" w:ascii="宋体" w:hAnsi="宋体" w:eastAsia="宋体" w:cs="宋体"/>
          <w:color w:val="000000"/>
          <w:sz w:val="24"/>
          <w:szCs w:val="24"/>
        </w:rPr>
        <w:t>）服务响应偏离表</w:t>
      </w:r>
    </w:p>
    <w:p w14:paraId="509D8347">
      <w:pPr>
        <w:pStyle w:val="5"/>
        <w:spacing w:before="0" w:beforeAutospacing="0"/>
        <w:ind w:firstLine="562" w:firstLineChars="200"/>
        <w:outlineLvl w:val="9"/>
        <w:rPr>
          <w:rFonts w:hint="eastAsia" w:ascii="宋体" w:hAnsi="宋体" w:eastAsia="宋体" w:cs="宋体"/>
          <w:color w:val="000000"/>
        </w:rPr>
      </w:pPr>
      <w:bookmarkStart w:id="152" w:name="_Toc12713"/>
      <w:r>
        <w:rPr>
          <w:rFonts w:hint="eastAsia" w:ascii="宋体" w:hAnsi="宋体" w:eastAsia="宋体" w:cs="宋体"/>
          <w:color w:val="000000"/>
        </w:rPr>
        <w:t>三、商务部分</w:t>
      </w:r>
      <w:bookmarkEnd w:id="150"/>
      <w:bookmarkEnd w:id="152"/>
    </w:p>
    <w:p w14:paraId="79573262">
      <w:pPr>
        <w:spacing w:line="400" w:lineRule="exact"/>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（一）按照“第四篇 项目商务需求”提供相应资料</w:t>
      </w:r>
    </w:p>
    <w:p w14:paraId="6FAE8298">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（二）商务响应偏离表</w:t>
      </w:r>
      <w:bookmarkStart w:id="153" w:name="_Toc54718218"/>
    </w:p>
    <w:p w14:paraId="1B8B0FAD">
      <w:pPr>
        <w:spacing w:line="44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（三）其它优惠承诺</w:t>
      </w:r>
    </w:p>
    <w:p w14:paraId="18EAE13E">
      <w:pPr>
        <w:pStyle w:val="5"/>
        <w:spacing w:before="0" w:beforeAutospacing="0"/>
        <w:ind w:firstLine="562" w:firstLineChars="200"/>
        <w:outlineLvl w:val="0"/>
        <w:rPr>
          <w:rFonts w:hint="eastAsia" w:ascii="宋体" w:hAnsi="宋体" w:eastAsia="宋体" w:cs="宋体"/>
          <w:color w:val="000000"/>
        </w:rPr>
      </w:pPr>
      <w:bookmarkStart w:id="154" w:name="_Toc26058"/>
      <w:bookmarkStart w:id="155" w:name="_Toc23169"/>
      <w:r>
        <w:rPr>
          <w:rFonts w:hint="eastAsia" w:ascii="宋体" w:hAnsi="宋体" w:eastAsia="宋体" w:cs="宋体"/>
          <w:color w:val="000000"/>
        </w:rPr>
        <w:t>四、资格文件及其他</w:t>
      </w:r>
      <w:bookmarkEnd w:id="153"/>
      <w:bookmarkEnd w:id="154"/>
      <w:bookmarkEnd w:id="155"/>
    </w:p>
    <w:p w14:paraId="47BA3092">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（一）营业执照（副本）或事业单位法人证书（副本）或个体工商户营业执照或有效的自然人身份证明或社会团体法人登记证书复印件</w:t>
      </w:r>
    </w:p>
    <w:p w14:paraId="65F5A89E">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（二）组织机构代码证复印件</w:t>
      </w:r>
    </w:p>
    <w:p w14:paraId="67B68CAD">
      <w:pPr>
        <w:snapToGrid w:val="0"/>
        <w:spacing w:line="400" w:lineRule="exact"/>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说明：供应商按“三证合一”登记制度办理营业执照的，组织机构代码证和税务登记证以供应商所提供的法人营业执照（副本）复印件为准。</w:t>
      </w:r>
    </w:p>
    <w:p w14:paraId="7B04775F">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（三）法定代表人身份证明书（格式）</w:t>
      </w:r>
    </w:p>
    <w:p w14:paraId="69723964">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（四）法定代表人授权委托书（格式）</w:t>
      </w:r>
    </w:p>
    <w:p w14:paraId="5A7AE355">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（五）</w:t>
      </w:r>
      <w:bookmarkStart w:id="156" w:name="_Toc54718219"/>
      <w:r>
        <w:rPr>
          <w:rFonts w:hint="eastAsia" w:ascii="宋体" w:hAnsi="宋体" w:eastAsia="宋体" w:cs="宋体"/>
          <w:color w:val="000000"/>
          <w:sz w:val="24"/>
          <w:szCs w:val="24"/>
          <w:lang w:eastAsia="zh-CN"/>
        </w:rPr>
        <w:t>基本资格条件承诺函</w:t>
      </w:r>
    </w:p>
    <w:p w14:paraId="7A0AB610">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六</w:t>
      </w:r>
      <w:r>
        <w:rPr>
          <w:rFonts w:hint="eastAsia" w:ascii="宋体" w:hAnsi="宋体" w:eastAsia="宋体" w:cs="宋体"/>
          <w:color w:val="000000"/>
          <w:sz w:val="24"/>
          <w:szCs w:val="24"/>
        </w:rPr>
        <w:t>）特定资格条件证书或证明文件（如果有）</w:t>
      </w:r>
    </w:p>
    <w:p w14:paraId="7D55F78D">
      <w:pPr>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七</w:t>
      </w:r>
      <w:r>
        <w:rPr>
          <w:rFonts w:hint="eastAsia" w:ascii="宋体" w:hAnsi="宋体" w:eastAsia="宋体" w:cs="宋体"/>
          <w:color w:val="000000"/>
          <w:sz w:val="24"/>
          <w:szCs w:val="24"/>
        </w:rPr>
        <w:t>）供应商提供 “信用中国”网站(www.creditchina.gov.cn)、"中国政府采购网"(www.ccgp.gov.cn)等渠道查询供应商信用记录的四张截图：信用中国--行政处罚；信用中国--失信惩戒；信用中国--重大税收违法案件当事人名单查询；中国政府采购网--政府采购严重违法失信行为信息记录（截图模板见第六篇后模板）。</w:t>
      </w:r>
    </w:p>
    <w:p w14:paraId="7C446217">
      <w:pPr>
        <w:pStyle w:val="5"/>
        <w:spacing w:before="0" w:beforeAutospacing="0"/>
        <w:ind w:firstLine="562" w:firstLineChars="200"/>
        <w:outlineLvl w:val="0"/>
        <w:rPr>
          <w:rFonts w:hint="eastAsia" w:ascii="宋体" w:hAnsi="宋体" w:eastAsia="宋体" w:cs="宋体"/>
          <w:color w:val="000000"/>
        </w:rPr>
      </w:pPr>
      <w:bookmarkStart w:id="157" w:name="_Toc31171"/>
      <w:bookmarkStart w:id="158" w:name="_Toc16952"/>
      <w:r>
        <w:rPr>
          <w:rFonts w:hint="eastAsia" w:ascii="宋体" w:hAnsi="宋体" w:eastAsia="宋体" w:cs="宋体"/>
          <w:color w:val="000000"/>
        </w:rPr>
        <w:t>五、其他应提供的资料</w:t>
      </w:r>
      <w:bookmarkEnd w:id="156"/>
      <w:bookmarkEnd w:id="157"/>
      <w:bookmarkEnd w:id="158"/>
    </w:p>
    <w:p w14:paraId="02BDC717">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1、其他与项目有关的资料（自附）</w:t>
      </w:r>
    </w:p>
    <w:p w14:paraId="7AA8ECBE">
      <w:pPr>
        <w:snapToGrid w:val="0"/>
        <w:spacing w:line="400" w:lineRule="exact"/>
        <w:ind w:firstLine="560" w:firstLineChars="200"/>
        <w:rPr>
          <w:rFonts w:hint="eastAsia" w:ascii="宋体" w:hAnsi="宋体" w:eastAsia="宋体" w:cs="宋体"/>
          <w:color w:val="000000"/>
          <w:szCs w:val="28"/>
        </w:rPr>
        <w:sectPr>
          <w:pgSz w:w="11907" w:h="16840"/>
          <w:pgMar w:top="1134" w:right="1191" w:bottom="1134" w:left="1304" w:header="851" w:footer="992" w:gutter="0"/>
          <w:pgNumType w:fmt="numberInDash"/>
          <w:cols w:space="720" w:num="1"/>
          <w:docGrid w:linePitch="380" w:charSpace="-5735"/>
        </w:sectPr>
      </w:pPr>
    </w:p>
    <w:p w14:paraId="2B36ADB8">
      <w:pPr>
        <w:pStyle w:val="5"/>
        <w:ind w:firstLine="562"/>
        <w:rPr>
          <w:rFonts w:hint="eastAsia" w:ascii="宋体" w:hAnsi="宋体" w:eastAsia="宋体" w:cs="宋体"/>
          <w:color w:val="000000"/>
          <w:szCs w:val="24"/>
        </w:rPr>
      </w:pPr>
      <w:bookmarkStart w:id="159" w:name="_Toc530494754"/>
      <w:bookmarkStart w:id="160" w:name="_Toc35440427"/>
      <w:bookmarkStart w:id="161" w:name="_Toc25929282"/>
      <w:bookmarkStart w:id="162" w:name="_Toc69397516"/>
      <w:bookmarkStart w:id="163" w:name="_Toc21162"/>
      <w:bookmarkStart w:id="164" w:name="_Toc5644"/>
      <w:r>
        <w:rPr>
          <w:rFonts w:hint="eastAsia" w:ascii="宋体" w:hAnsi="宋体" w:eastAsia="宋体" w:cs="宋体"/>
          <w:color w:val="000000"/>
        </w:rPr>
        <w:t>一、经济部分</w:t>
      </w:r>
      <w:bookmarkEnd w:id="159"/>
      <w:bookmarkEnd w:id="160"/>
      <w:bookmarkEnd w:id="161"/>
      <w:bookmarkEnd w:id="162"/>
      <w:bookmarkEnd w:id="163"/>
      <w:bookmarkEnd w:id="164"/>
    </w:p>
    <w:p w14:paraId="17ABF243">
      <w:pPr>
        <w:tabs>
          <w:tab w:val="left" w:pos="6300"/>
        </w:tabs>
        <w:snapToGrid w:val="0"/>
        <w:spacing w:line="312" w:lineRule="auto"/>
        <w:ind w:firstLine="480" w:firstLineChars="0"/>
        <w:outlineLvl w:val="2"/>
        <w:rPr>
          <w:rFonts w:hint="eastAsia" w:ascii="宋体" w:hAnsi="宋体" w:eastAsia="宋体" w:cs="宋体"/>
          <w:color w:val="000000"/>
          <w:sz w:val="24"/>
          <w:szCs w:val="24"/>
        </w:rPr>
      </w:pPr>
      <w:bookmarkStart w:id="165" w:name="_Toc1551"/>
      <w:r>
        <w:rPr>
          <w:rFonts w:hint="eastAsia" w:ascii="宋体" w:hAnsi="宋体" w:eastAsia="宋体" w:cs="宋体"/>
          <w:color w:val="000000"/>
          <w:sz w:val="24"/>
          <w:szCs w:val="24"/>
        </w:rPr>
        <w:t>（一）比选报价函</w:t>
      </w:r>
      <w:bookmarkEnd w:id="165"/>
    </w:p>
    <w:p w14:paraId="50779281">
      <w:pPr>
        <w:tabs>
          <w:tab w:val="left" w:pos="6300"/>
        </w:tabs>
        <w:snapToGrid w:val="0"/>
        <w:ind w:firstLine="480"/>
        <w:jc w:val="center"/>
        <w:rPr>
          <w:rFonts w:hint="eastAsia" w:ascii="宋体" w:hAnsi="宋体" w:eastAsia="宋体" w:cs="宋体"/>
          <w:color w:val="000000"/>
          <w:szCs w:val="24"/>
        </w:rPr>
      </w:pPr>
      <w:r>
        <w:rPr>
          <w:rFonts w:hint="eastAsia" w:ascii="宋体" w:hAnsi="宋体" w:eastAsia="宋体" w:cs="宋体"/>
          <w:b/>
          <w:bCs/>
          <w:color w:val="000000"/>
          <w:szCs w:val="24"/>
        </w:rPr>
        <w:t>比选报价函</w:t>
      </w:r>
    </w:p>
    <w:p w14:paraId="3E6BAF5A">
      <w:pPr>
        <w:tabs>
          <w:tab w:val="left" w:pos="6300"/>
        </w:tabs>
        <w:snapToGrid w:val="0"/>
        <w:ind w:firstLine="480"/>
        <w:rPr>
          <w:rFonts w:hint="eastAsia" w:ascii="宋体" w:hAnsi="宋体" w:eastAsia="宋体" w:cs="宋体"/>
          <w:color w:val="000000"/>
          <w:sz w:val="24"/>
          <w:szCs w:val="24"/>
          <w:u w:val="single"/>
        </w:rPr>
      </w:pPr>
      <w:r>
        <w:rPr>
          <w:rFonts w:hint="eastAsia" w:ascii="宋体" w:hAnsi="宋体" w:eastAsia="宋体" w:cs="宋体"/>
          <w:color w:val="000000"/>
          <w:sz w:val="24"/>
          <w:szCs w:val="24"/>
          <w:u w:val="single"/>
        </w:rPr>
        <w:t>重庆医科大学附属永川</w:t>
      </w:r>
      <w:r>
        <w:rPr>
          <w:rFonts w:hint="eastAsia" w:ascii="宋体" w:hAnsi="宋体" w:eastAsia="宋体" w:cs="宋体"/>
          <w:color w:val="000000"/>
          <w:sz w:val="24"/>
          <w:szCs w:val="24"/>
          <w:u w:val="single"/>
          <w:lang w:eastAsia="zh-CN"/>
        </w:rPr>
        <w:t>医院</w:t>
      </w:r>
      <w:r>
        <w:rPr>
          <w:rFonts w:hint="eastAsia" w:ascii="宋体" w:hAnsi="宋体" w:eastAsia="宋体" w:cs="宋体"/>
          <w:color w:val="000000"/>
          <w:sz w:val="24"/>
          <w:szCs w:val="24"/>
          <w:u w:val="single"/>
        </w:rPr>
        <w:t>：</w:t>
      </w:r>
    </w:p>
    <w:p w14:paraId="41B549ED">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我方收到____________________________（比选项目名称）的比选文件，经详细研究，决定参加该项目的比选。</w:t>
      </w:r>
    </w:p>
    <w:p w14:paraId="3CF076D0">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1、愿意按照比选文件中的一切要求，提供本项目的技术服务、商务需求，初始报价（总价）为人民币大写：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元整；人民币小写：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元。以我公司最后报价为准。</w:t>
      </w:r>
    </w:p>
    <w:p w14:paraId="056A8CE9">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2、我方现提交的响应文件为：响应文件正本</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份，副本</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份。</w:t>
      </w:r>
    </w:p>
    <w:p w14:paraId="195F05D8">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3、我方承诺：本次比选的有效期为提交响应文件截止时间起90天。</w:t>
      </w:r>
    </w:p>
    <w:p w14:paraId="4BE5D6A4">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4、我方完全理解和接受贵方比选文件的一切规定和要求及评审办法。</w:t>
      </w:r>
    </w:p>
    <w:p w14:paraId="4E68FB35">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5、在整个比选过程中，我方若有违规行为，接受按照《中华人民共和国政府采购法》和《比选文件》之规定给予惩罚。</w:t>
      </w:r>
    </w:p>
    <w:p w14:paraId="6BE44F30">
      <w:pPr>
        <w:tabs>
          <w:tab w:val="left" w:pos="6300"/>
        </w:tabs>
        <w:snapToGrid w:val="0"/>
        <w:ind w:left="140" w:leftChars="50"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rPr>
        <w:t>6、我方若成为成交供应商，将按照最终比选结果签订合同，并且严格履行合同义务。本承诺函将成为合同不可分割的一部分，与合同具有同等的法律效力。</w:t>
      </w:r>
    </w:p>
    <w:p w14:paraId="268AF47E">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7、我方未为采购项目提供整体设计、规范编制或者项目管理、监理、检测等服务。</w:t>
      </w:r>
    </w:p>
    <w:p w14:paraId="1752BC8D">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供应商（公章）：</w:t>
      </w:r>
    </w:p>
    <w:p w14:paraId="1B40814F">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地址：  </w:t>
      </w:r>
    </w:p>
    <w:p w14:paraId="0D1ADACF">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电话：                                             传真：</w:t>
      </w:r>
    </w:p>
    <w:p w14:paraId="63875AFF">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网址：                                             邮编：</w:t>
      </w:r>
    </w:p>
    <w:p w14:paraId="201298C3">
      <w:pPr>
        <w:tabs>
          <w:tab w:val="left" w:pos="6300"/>
        </w:tabs>
        <w:snapToGrid w:val="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联系人：</w:t>
      </w:r>
    </w:p>
    <w:p w14:paraId="70133D13">
      <w:pPr>
        <w:snapToGrid w:val="0"/>
        <w:ind w:firstLine="480"/>
        <w:rPr>
          <w:rFonts w:hint="eastAsia" w:ascii="宋体" w:hAnsi="宋体" w:eastAsia="宋体" w:cs="宋体"/>
          <w:color w:val="000000"/>
          <w:sz w:val="24"/>
          <w:szCs w:val="24"/>
        </w:rPr>
        <w:sectPr>
          <w:pgSz w:w="11907" w:h="16840"/>
          <w:pgMar w:top="1134" w:right="1191" w:bottom="1134" w:left="1304" w:header="851" w:footer="992" w:gutter="0"/>
          <w:pgNumType w:fmt="numberInDash"/>
          <w:cols w:space="720" w:num="1"/>
          <w:docGrid w:linePitch="380" w:charSpace="-5735"/>
        </w:sectPr>
      </w:pPr>
      <w:r>
        <w:rPr>
          <w:rFonts w:hint="eastAsia" w:ascii="宋体" w:hAnsi="宋体" w:eastAsia="宋体" w:cs="宋体"/>
          <w:color w:val="000000"/>
          <w:sz w:val="24"/>
          <w:szCs w:val="24"/>
        </w:rPr>
        <w:t xml:space="preserve">                                                  年   月   日</w:t>
      </w:r>
    </w:p>
    <w:p w14:paraId="0B25A02C">
      <w:pPr>
        <w:numPr>
          <w:ilvl w:val="0"/>
          <w:numId w:val="16"/>
        </w:numPr>
        <w:tabs>
          <w:tab w:val="left" w:pos="6300"/>
        </w:tabs>
        <w:snapToGrid w:val="0"/>
        <w:spacing w:line="312" w:lineRule="auto"/>
        <w:ind w:firstLine="480" w:firstLineChars="0"/>
        <w:outlineLvl w:val="2"/>
        <w:rPr>
          <w:rFonts w:hint="eastAsia" w:ascii="宋体" w:hAnsi="宋体" w:eastAsia="宋体" w:cs="宋体"/>
          <w:color w:val="000000"/>
          <w:szCs w:val="24"/>
        </w:rPr>
      </w:pPr>
      <w:bookmarkStart w:id="166" w:name="_Toc31713"/>
      <w:r>
        <w:rPr>
          <w:rFonts w:hint="eastAsia" w:ascii="宋体" w:hAnsi="宋体" w:eastAsia="宋体" w:cs="宋体"/>
          <w:color w:val="000000"/>
          <w:szCs w:val="24"/>
        </w:rPr>
        <w:t>分项报价明细表</w:t>
      </w:r>
      <w:bookmarkEnd w:id="166"/>
    </w:p>
    <w:p w14:paraId="755277F3">
      <w:pPr>
        <w:spacing w:line="400" w:lineRule="exact"/>
        <w:jc w:val="center"/>
        <w:rPr>
          <w:rFonts w:hint="eastAsia" w:ascii="楷体" w:hAnsi="楷体" w:eastAsia="楷体"/>
          <w:b/>
          <w:bCs/>
          <w:color w:val="000000"/>
          <w:sz w:val="28"/>
          <w:szCs w:val="28"/>
          <w:lang w:eastAsia="zh-CN"/>
        </w:rPr>
      </w:pPr>
      <w:r>
        <w:rPr>
          <w:rFonts w:hint="eastAsia" w:ascii="楷体" w:hAnsi="楷体" w:eastAsia="楷体"/>
          <w:b/>
          <w:bCs/>
          <w:color w:val="000000"/>
          <w:sz w:val="28"/>
          <w:szCs w:val="28"/>
        </w:rPr>
        <w:t>报价</w:t>
      </w:r>
      <w:r>
        <w:rPr>
          <w:rFonts w:hint="eastAsia" w:ascii="楷体" w:hAnsi="楷体" w:eastAsia="楷体"/>
          <w:b/>
          <w:bCs/>
          <w:color w:val="000000"/>
          <w:sz w:val="28"/>
          <w:szCs w:val="28"/>
          <w:lang w:eastAsia="zh-CN"/>
        </w:rPr>
        <w:t>表</w:t>
      </w:r>
    </w:p>
    <w:tbl>
      <w:tblPr>
        <w:tblStyle w:val="5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1992"/>
        <w:gridCol w:w="1236"/>
        <w:gridCol w:w="3399"/>
      </w:tblGrid>
      <w:tr w14:paraId="76EC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4D36F3EB">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服务项目</w:t>
            </w:r>
          </w:p>
        </w:tc>
        <w:tc>
          <w:tcPr>
            <w:tcW w:w="0" w:type="auto"/>
            <w:tcBorders>
              <w:top w:val="single" w:color="auto" w:sz="4" w:space="0"/>
              <w:left w:val="single" w:color="auto" w:sz="4" w:space="0"/>
              <w:bottom w:val="single" w:color="auto" w:sz="4" w:space="0"/>
              <w:right w:val="single" w:color="auto" w:sz="4" w:space="0"/>
            </w:tcBorders>
            <w:noWrap w:val="0"/>
            <w:vAlign w:val="top"/>
          </w:tcPr>
          <w:p w14:paraId="004D5499">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年度单价（元）</w:t>
            </w:r>
          </w:p>
        </w:tc>
        <w:tc>
          <w:tcPr>
            <w:tcW w:w="0" w:type="auto"/>
            <w:tcBorders>
              <w:top w:val="single" w:color="auto" w:sz="4" w:space="0"/>
              <w:left w:val="single" w:color="auto" w:sz="4" w:space="0"/>
              <w:bottom w:val="single" w:color="auto" w:sz="4" w:space="0"/>
              <w:right w:val="single" w:color="auto" w:sz="4" w:space="0"/>
            </w:tcBorders>
            <w:noWrap w:val="0"/>
            <w:vAlign w:val="top"/>
          </w:tcPr>
          <w:p w14:paraId="2059A067">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服务周期</w:t>
            </w:r>
          </w:p>
        </w:tc>
        <w:tc>
          <w:tcPr>
            <w:tcW w:w="3400" w:type="dxa"/>
            <w:tcBorders>
              <w:top w:val="single" w:color="auto" w:sz="4" w:space="0"/>
              <w:left w:val="single" w:color="auto" w:sz="4" w:space="0"/>
              <w:bottom w:val="single" w:color="auto" w:sz="4" w:space="0"/>
              <w:right w:val="single" w:color="auto" w:sz="4" w:space="0"/>
            </w:tcBorders>
            <w:noWrap w:val="0"/>
            <w:vAlign w:val="top"/>
          </w:tcPr>
          <w:p w14:paraId="30B56CFC">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服务期限</w:t>
            </w:r>
          </w:p>
        </w:tc>
      </w:tr>
      <w:tr w14:paraId="376A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477E141">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信息系统及网络安全服务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3F596CD">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BFC6A17">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2年</w:t>
            </w:r>
          </w:p>
        </w:tc>
        <w:tc>
          <w:tcPr>
            <w:tcW w:w="3400" w:type="dxa"/>
            <w:tcBorders>
              <w:top w:val="single" w:color="auto" w:sz="4" w:space="0"/>
              <w:left w:val="single" w:color="auto" w:sz="4" w:space="0"/>
              <w:bottom w:val="single" w:color="auto" w:sz="4" w:space="0"/>
              <w:right w:val="single" w:color="auto" w:sz="4" w:space="0"/>
            </w:tcBorders>
            <w:noWrap w:val="0"/>
            <w:vAlign w:val="center"/>
          </w:tcPr>
          <w:p w14:paraId="369F1EA0">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kern w:val="0"/>
                <w:sz w:val="24"/>
                <w:szCs w:val="24"/>
                <w:lang w:val="en-US" w:eastAsia="zh-CN" w:bidi="ar"/>
              </w:rPr>
              <w:t>自合同签订之日起 2年</w:t>
            </w:r>
          </w:p>
        </w:tc>
      </w:tr>
      <w:tr w14:paraId="7CB9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C86EE6F">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机房软件运维服务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35F9002">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C3C06EC">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2年</w:t>
            </w:r>
          </w:p>
        </w:tc>
        <w:tc>
          <w:tcPr>
            <w:tcW w:w="3400" w:type="dxa"/>
            <w:tcBorders>
              <w:top w:val="single" w:color="auto" w:sz="4" w:space="0"/>
              <w:left w:val="single" w:color="auto" w:sz="4" w:space="0"/>
              <w:bottom w:val="single" w:color="auto" w:sz="4" w:space="0"/>
              <w:right w:val="single" w:color="auto" w:sz="4" w:space="0"/>
            </w:tcBorders>
            <w:noWrap w:val="0"/>
            <w:vAlign w:val="center"/>
          </w:tcPr>
          <w:p w14:paraId="6B2CB52F">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kern w:val="0"/>
                <w:sz w:val="24"/>
                <w:szCs w:val="24"/>
                <w:lang w:val="en-US" w:eastAsia="zh-CN" w:bidi="ar"/>
              </w:rPr>
              <w:t>2026年12月1日至2028年12月1日</w:t>
            </w:r>
          </w:p>
        </w:tc>
      </w:tr>
      <w:tr w14:paraId="2CF0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C68882E">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机房硬件运维服务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541A46B">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5274AEE">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2年</w:t>
            </w:r>
          </w:p>
        </w:tc>
        <w:tc>
          <w:tcPr>
            <w:tcW w:w="3400" w:type="dxa"/>
            <w:tcBorders>
              <w:top w:val="single" w:color="auto" w:sz="4" w:space="0"/>
              <w:left w:val="single" w:color="auto" w:sz="4" w:space="0"/>
              <w:bottom w:val="single" w:color="auto" w:sz="4" w:space="0"/>
              <w:right w:val="single" w:color="auto" w:sz="4" w:space="0"/>
            </w:tcBorders>
            <w:noWrap w:val="0"/>
            <w:vAlign w:val="center"/>
          </w:tcPr>
          <w:p w14:paraId="0DC5446C">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rPr>
            </w:pPr>
            <w:r>
              <w:rPr>
                <w:rFonts w:hint="eastAsia" w:ascii="宋体" w:hAnsi="宋体" w:eastAsia="宋体" w:cs="宋体"/>
                <w:kern w:val="0"/>
                <w:sz w:val="24"/>
                <w:szCs w:val="24"/>
                <w:lang w:val="en-US" w:eastAsia="zh-CN" w:bidi="ar"/>
              </w:rPr>
              <w:t>2026年12月5日至2028年12月5日</w:t>
            </w:r>
          </w:p>
        </w:tc>
      </w:tr>
      <w:tr w14:paraId="7BE5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1B87FF50">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总价（元/两年）</w:t>
            </w:r>
          </w:p>
        </w:tc>
        <w:tc>
          <w:tcPr>
            <w:tcW w:w="3400" w:type="dxa"/>
            <w:tcBorders>
              <w:top w:val="single" w:color="auto" w:sz="4" w:space="0"/>
              <w:left w:val="single" w:color="auto" w:sz="4" w:space="0"/>
              <w:bottom w:val="single" w:color="auto" w:sz="4" w:space="0"/>
              <w:right w:val="single" w:color="auto" w:sz="4" w:space="0"/>
            </w:tcBorders>
            <w:noWrap w:val="0"/>
            <w:vAlign w:val="center"/>
          </w:tcPr>
          <w:p w14:paraId="073465A7">
            <w:pPr>
              <w:keepNext w:val="0"/>
              <w:keepLines w:val="0"/>
              <w:widowControl w:val="0"/>
              <w:suppressLineNumbers w:val="0"/>
              <w:autoSpaceDE w:val="0"/>
              <w:autoSpaceDN/>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rPr>
            </w:pPr>
          </w:p>
        </w:tc>
      </w:tr>
    </w:tbl>
    <w:p w14:paraId="6A9A63E9">
      <w:pPr>
        <w:spacing w:line="400" w:lineRule="exact"/>
        <w:jc w:val="left"/>
        <w:rPr>
          <w:rFonts w:hint="eastAsia" w:ascii="楷体" w:hAnsi="楷体" w:eastAsia="楷体"/>
          <w:b/>
          <w:bCs/>
          <w:color w:val="000000"/>
          <w:sz w:val="28"/>
          <w:szCs w:val="28"/>
          <w:lang w:val="en-US" w:eastAsia="zh-CN"/>
        </w:rPr>
      </w:pPr>
      <w:r>
        <w:rPr>
          <w:rFonts w:hint="eastAsia" w:ascii="楷体" w:hAnsi="楷体" w:eastAsia="楷体"/>
          <w:b/>
          <w:bCs/>
          <w:color w:val="000000"/>
          <w:sz w:val="28"/>
          <w:szCs w:val="28"/>
          <w:lang w:eastAsia="zh-CN"/>
        </w:rPr>
        <w:t>注：</w:t>
      </w:r>
      <w:r>
        <w:rPr>
          <w:rFonts w:hint="eastAsia" w:ascii="宋体" w:hAnsi="宋体" w:eastAsia="宋体" w:cs="宋体"/>
          <w:color w:val="000000"/>
          <w:sz w:val="24"/>
          <w:szCs w:val="24"/>
        </w:rPr>
        <w:t>本次报价须为人民币报价，</w:t>
      </w:r>
      <w:r>
        <w:rPr>
          <w:rFonts w:hint="eastAsia" w:ascii="宋体" w:hAnsi="宋体" w:eastAsia="宋体" w:cs="宋体"/>
          <w:color w:val="000000"/>
          <w:sz w:val="24"/>
          <w:szCs w:val="24"/>
          <w:lang w:eastAsia="zh-CN"/>
        </w:rPr>
        <w:t>且为包干价，</w:t>
      </w:r>
      <w:r>
        <w:rPr>
          <w:rFonts w:hint="eastAsia" w:ascii="宋体" w:hAnsi="宋体" w:eastAsia="宋体" w:cs="宋体"/>
          <w:color w:val="000000"/>
          <w:sz w:val="24"/>
          <w:szCs w:val="24"/>
        </w:rPr>
        <w:t>包含：完成本项目所需的服务费、人工费及提供服务所需的设备或货物购买（制造）费、辅材费、运输费、装卸费、安装调试费、培训费及各种应纳的税费等完成本项目的所有费用。因</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rPr>
        <w:t>自身原因造成漏报、少报皆由其自行承担责任，采购人不再补偿</w:t>
      </w:r>
      <w:r>
        <w:rPr>
          <w:rFonts w:hint="eastAsia" w:ascii="宋体" w:hAnsi="宋体" w:eastAsia="宋体" w:cs="宋体"/>
          <w:color w:val="FF0000"/>
          <w:szCs w:val="28"/>
          <w:lang w:val="en-US" w:eastAsia="zh-CN"/>
        </w:rPr>
        <w:t>。</w:t>
      </w:r>
    </w:p>
    <w:p w14:paraId="35DA6560">
      <w:pPr>
        <w:snapToGrid w:val="0"/>
        <w:spacing w:line="400" w:lineRule="exact"/>
        <w:ind w:firstLine="480" w:firstLineChars="200"/>
        <w:jc w:val="both"/>
        <w:rPr>
          <w:rFonts w:hint="eastAsia" w:ascii="宋体" w:hAnsi="宋体" w:eastAsia="宋体" w:cs="宋体"/>
          <w:color w:val="FF0000"/>
          <w:sz w:val="24"/>
          <w:szCs w:val="24"/>
          <w:lang w:eastAsia="zh-CN"/>
        </w:rPr>
      </w:pPr>
    </w:p>
    <w:p w14:paraId="1B52C22E">
      <w:pPr>
        <w:spacing w:line="500" w:lineRule="exact"/>
        <w:ind w:firstLine="600" w:firstLineChars="250"/>
        <w:rPr>
          <w:rFonts w:hint="eastAsia" w:ascii="宋体" w:hAnsi="宋体" w:eastAsia="宋体" w:cs="宋体"/>
          <w:color w:val="000000"/>
          <w:sz w:val="24"/>
          <w:szCs w:val="24"/>
        </w:rPr>
      </w:pPr>
    </w:p>
    <w:p w14:paraId="6F06901D">
      <w:pPr>
        <w:pStyle w:val="3"/>
        <w:rPr>
          <w:rFonts w:hint="eastAsia" w:ascii="宋体" w:hAnsi="宋体" w:eastAsia="宋体" w:cs="宋体"/>
          <w:color w:val="000000"/>
          <w:sz w:val="24"/>
          <w:szCs w:val="24"/>
        </w:rPr>
      </w:pPr>
    </w:p>
    <w:p w14:paraId="215B4317">
      <w:pPr>
        <w:pStyle w:val="3"/>
        <w:rPr>
          <w:rFonts w:hint="eastAsia" w:ascii="宋体" w:hAnsi="宋体" w:eastAsia="宋体" w:cs="宋体"/>
          <w:color w:val="000000"/>
          <w:sz w:val="24"/>
          <w:szCs w:val="24"/>
        </w:rPr>
      </w:pPr>
    </w:p>
    <w:p w14:paraId="26C352AD">
      <w:pPr>
        <w:pStyle w:val="3"/>
        <w:rPr>
          <w:rFonts w:hint="eastAsia" w:ascii="宋体" w:hAnsi="宋体" w:eastAsia="宋体" w:cs="宋体"/>
          <w:color w:val="000000"/>
          <w:sz w:val="24"/>
          <w:szCs w:val="24"/>
        </w:rPr>
      </w:pPr>
    </w:p>
    <w:p w14:paraId="3B5E14FC">
      <w:pPr>
        <w:pStyle w:val="3"/>
        <w:rPr>
          <w:rFonts w:hint="eastAsia" w:ascii="宋体" w:hAnsi="宋体" w:eastAsia="宋体" w:cs="宋体"/>
          <w:color w:val="000000"/>
          <w:sz w:val="24"/>
          <w:szCs w:val="24"/>
        </w:rPr>
      </w:pPr>
    </w:p>
    <w:p w14:paraId="1ED4B797">
      <w:pPr>
        <w:pStyle w:val="3"/>
        <w:rPr>
          <w:rFonts w:hint="eastAsia" w:ascii="宋体" w:hAnsi="宋体" w:eastAsia="宋体" w:cs="宋体"/>
          <w:color w:val="000000"/>
          <w:sz w:val="24"/>
          <w:szCs w:val="24"/>
        </w:rPr>
      </w:pPr>
    </w:p>
    <w:p w14:paraId="45985BC3">
      <w:pPr>
        <w:pStyle w:val="3"/>
        <w:rPr>
          <w:rFonts w:hint="eastAsia" w:ascii="宋体" w:hAnsi="宋体" w:eastAsia="宋体" w:cs="宋体"/>
          <w:color w:val="000000"/>
          <w:sz w:val="24"/>
          <w:szCs w:val="24"/>
        </w:rPr>
      </w:pPr>
    </w:p>
    <w:p w14:paraId="0FD9DDA9">
      <w:pPr>
        <w:pStyle w:val="3"/>
        <w:rPr>
          <w:rFonts w:hint="eastAsia" w:ascii="宋体" w:hAnsi="宋体" w:eastAsia="宋体" w:cs="宋体"/>
          <w:color w:val="000000"/>
          <w:sz w:val="24"/>
          <w:szCs w:val="24"/>
        </w:rPr>
      </w:pPr>
    </w:p>
    <w:p w14:paraId="677EB24B">
      <w:pPr>
        <w:spacing w:line="500" w:lineRule="exact"/>
        <w:ind w:firstLine="4680" w:firstLineChars="1950"/>
        <w:rPr>
          <w:rFonts w:hint="eastAsia" w:ascii="宋体" w:hAnsi="宋体" w:eastAsia="宋体" w:cs="宋体"/>
          <w:color w:val="000000"/>
          <w:sz w:val="24"/>
          <w:szCs w:val="24"/>
        </w:rPr>
      </w:pPr>
      <w:r>
        <w:rPr>
          <w:rFonts w:hint="eastAsia" w:ascii="宋体" w:hAnsi="宋体" w:eastAsia="宋体" w:cs="宋体"/>
          <w:color w:val="000000"/>
          <w:sz w:val="24"/>
          <w:szCs w:val="24"/>
        </w:rPr>
        <w:t>供应商名称（公章）或自然人签署：</w:t>
      </w:r>
    </w:p>
    <w:p w14:paraId="6485AB60">
      <w:pPr>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66051A1B">
      <w:pPr>
        <w:rPr>
          <w:rFonts w:hint="eastAsia"/>
          <w:color w:val="000000"/>
        </w:rPr>
      </w:pPr>
      <w:bookmarkStart w:id="167" w:name="_Toc69397517"/>
      <w:bookmarkStart w:id="168" w:name="_Toc30087"/>
    </w:p>
    <w:p w14:paraId="07D73079">
      <w:pPr>
        <w:rPr>
          <w:rFonts w:hint="eastAsia"/>
          <w:color w:val="000000"/>
        </w:rPr>
      </w:pPr>
    </w:p>
    <w:p w14:paraId="0B573A8A">
      <w:pPr>
        <w:pStyle w:val="3"/>
        <w:rPr>
          <w:rFonts w:hint="eastAsia" w:ascii="宋体" w:hAnsi="宋体" w:eastAsia="宋体" w:cs="宋体"/>
          <w:color w:val="000000"/>
        </w:rPr>
      </w:pPr>
      <w:bookmarkStart w:id="169" w:name="_Toc28628"/>
    </w:p>
    <w:p w14:paraId="68B23002">
      <w:pPr>
        <w:pStyle w:val="3"/>
        <w:rPr>
          <w:rFonts w:hint="eastAsia" w:ascii="宋体" w:hAnsi="宋体" w:eastAsia="宋体" w:cs="宋体"/>
          <w:color w:val="000000"/>
        </w:rPr>
      </w:pPr>
    </w:p>
    <w:p w14:paraId="13C4D88A">
      <w:pPr>
        <w:pStyle w:val="3"/>
        <w:rPr>
          <w:rFonts w:hint="eastAsia" w:ascii="宋体" w:hAnsi="宋体" w:eastAsia="宋体" w:cs="宋体"/>
          <w:color w:val="000000"/>
        </w:rPr>
      </w:pPr>
    </w:p>
    <w:p w14:paraId="6BDC882E">
      <w:pPr>
        <w:pStyle w:val="3"/>
        <w:rPr>
          <w:rFonts w:hint="eastAsia" w:ascii="宋体" w:hAnsi="宋体" w:eastAsia="宋体" w:cs="宋体"/>
          <w:color w:val="000000"/>
        </w:rPr>
      </w:pPr>
    </w:p>
    <w:p w14:paraId="58703465">
      <w:pPr>
        <w:pStyle w:val="3"/>
        <w:rPr>
          <w:rFonts w:hint="eastAsia" w:ascii="宋体" w:hAnsi="宋体" w:eastAsia="宋体" w:cs="宋体"/>
          <w:color w:val="000000"/>
        </w:rPr>
      </w:pPr>
    </w:p>
    <w:p w14:paraId="16D7C57B">
      <w:pPr>
        <w:pStyle w:val="3"/>
        <w:rPr>
          <w:rFonts w:hint="eastAsia" w:ascii="宋体" w:hAnsi="宋体" w:eastAsia="宋体" w:cs="宋体"/>
          <w:color w:val="000000"/>
        </w:rPr>
      </w:pPr>
    </w:p>
    <w:p w14:paraId="0474F6F0">
      <w:pPr>
        <w:pStyle w:val="3"/>
        <w:rPr>
          <w:rFonts w:hint="eastAsia" w:ascii="宋体" w:hAnsi="宋体" w:eastAsia="宋体" w:cs="宋体"/>
          <w:color w:val="000000"/>
        </w:rPr>
      </w:pPr>
    </w:p>
    <w:p w14:paraId="2F495F94">
      <w:pPr>
        <w:pStyle w:val="3"/>
        <w:rPr>
          <w:rFonts w:hint="eastAsia" w:ascii="宋体" w:hAnsi="宋体" w:eastAsia="宋体" w:cs="宋体"/>
          <w:color w:val="000000"/>
        </w:rPr>
      </w:pPr>
    </w:p>
    <w:p w14:paraId="30CCF376">
      <w:pPr>
        <w:pStyle w:val="3"/>
        <w:rPr>
          <w:rFonts w:hint="eastAsia" w:ascii="宋体" w:hAnsi="宋体" w:eastAsia="宋体" w:cs="宋体"/>
          <w:color w:val="000000"/>
        </w:rPr>
      </w:pPr>
    </w:p>
    <w:tbl>
      <w:tblPr>
        <w:tblStyle w:val="59"/>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3255"/>
        <w:gridCol w:w="2468"/>
        <w:gridCol w:w="825"/>
        <w:gridCol w:w="803"/>
        <w:gridCol w:w="803"/>
      </w:tblGrid>
      <w:tr w14:paraId="2ABC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0" w:type="dxa"/>
            <w:noWrap w:val="0"/>
            <w:vAlign w:val="top"/>
          </w:tcPr>
          <w:p w14:paraId="60027E6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名称</w:t>
            </w:r>
          </w:p>
        </w:tc>
        <w:tc>
          <w:tcPr>
            <w:tcW w:w="3255" w:type="dxa"/>
            <w:noWrap w:val="0"/>
            <w:vAlign w:val="top"/>
          </w:tcPr>
          <w:p w14:paraId="32A09CE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要求</w:t>
            </w:r>
          </w:p>
        </w:tc>
        <w:tc>
          <w:tcPr>
            <w:tcW w:w="2468" w:type="dxa"/>
            <w:noWrap w:val="0"/>
            <w:vAlign w:val="top"/>
          </w:tcPr>
          <w:p w14:paraId="636B02A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规格型号</w:t>
            </w:r>
          </w:p>
        </w:tc>
        <w:tc>
          <w:tcPr>
            <w:tcW w:w="825" w:type="dxa"/>
            <w:noWrap w:val="0"/>
            <w:vAlign w:val="top"/>
          </w:tcPr>
          <w:p w14:paraId="606CA65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品牌</w:t>
            </w:r>
          </w:p>
        </w:tc>
        <w:tc>
          <w:tcPr>
            <w:tcW w:w="803" w:type="dxa"/>
            <w:noWrap w:val="0"/>
            <w:vAlign w:val="top"/>
          </w:tcPr>
          <w:p w14:paraId="100AA56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生产厂家</w:t>
            </w:r>
          </w:p>
        </w:tc>
        <w:tc>
          <w:tcPr>
            <w:tcW w:w="803" w:type="dxa"/>
            <w:noWrap w:val="0"/>
            <w:vAlign w:val="top"/>
          </w:tcPr>
          <w:p w14:paraId="1C94A2E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单价</w:t>
            </w:r>
          </w:p>
        </w:tc>
      </w:tr>
      <w:tr w14:paraId="1BB8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0EEC933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服务器网卡</w:t>
            </w:r>
          </w:p>
        </w:tc>
        <w:tc>
          <w:tcPr>
            <w:tcW w:w="3255" w:type="dxa"/>
            <w:noWrap w:val="0"/>
            <w:vAlign w:val="top"/>
          </w:tcPr>
          <w:p w14:paraId="33BCCCD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top"/>
          </w:tcPr>
          <w:p w14:paraId="3DF8554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10G  PCIE网卡双口</w:t>
            </w:r>
          </w:p>
        </w:tc>
        <w:tc>
          <w:tcPr>
            <w:tcW w:w="825" w:type="dxa"/>
            <w:noWrap w:val="0"/>
            <w:vAlign w:val="top"/>
          </w:tcPr>
          <w:p w14:paraId="3158DBB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803" w:type="dxa"/>
            <w:noWrap w:val="0"/>
            <w:vAlign w:val="top"/>
          </w:tcPr>
          <w:p w14:paraId="3A70760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803" w:type="dxa"/>
            <w:noWrap w:val="0"/>
            <w:vAlign w:val="top"/>
          </w:tcPr>
          <w:p w14:paraId="05D13A9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7C5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4995E50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top"/>
          </w:tcPr>
          <w:p w14:paraId="10CAF13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top"/>
          </w:tcPr>
          <w:p w14:paraId="5987270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10G  PCIE网卡双口</w:t>
            </w:r>
          </w:p>
        </w:tc>
        <w:tc>
          <w:tcPr>
            <w:tcW w:w="825" w:type="dxa"/>
            <w:noWrap w:val="0"/>
            <w:vAlign w:val="top"/>
          </w:tcPr>
          <w:p w14:paraId="6991341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03827B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E867C2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30A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51CEE11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光纤通道卡</w:t>
            </w:r>
          </w:p>
        </w:tc>
        <w:tc>
          <w:tcPr>
            <w:tcW w:w="3255" w:type="dxa"/>
            <w:noWrap w:val="0"/>
            <w:vAlign w:val="center"/>
          </w:tcPr>
          <w:p w14:paraId="1507195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1E50654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8G  PCIE单口</w:t>
            </w:r>
          </w:p>
        </w:tc>
        <w:tc>
          <w:tcPr>
            <w:tcW w:w="825" w:type="dxa"/>
            <w:noWrap w:val="0"/>
            <w:vAlign w:val="top"/>
          </w:tcPr>
          <w:p w14:paraId="7632B7B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4637B3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C826BB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B4F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7FC63AD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2E25688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687FEDF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16G  PCIE单口</w:t>
            </w:r>
          </w:p>
        </w:tc>
        <w:tc>
          <w:tcPr>
            <w:tcW w:w="825" w:type="dxa"/>
            <w:noWrap w:val="0"/>
            <w:vAlign w:val="top"/>
          </w:tcPr>
          <w:p w14:paraId="7CC2F74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9510F6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5DDF55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295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65F4514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54F8DF6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2D5505F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8G  PCIE双口</w:t>
            </w:r>
          </w:p>
        </w:tc>
        <w:tc>
          <w:tcPr>
            <w:tcW w:w="825" w:type="dxa"/>
            <w:noWrap w:val="0"/>
            <w:vAlign w:val="top"/>
          </w:tcPr>
          <w:p w14:paraId="16C5040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309EF1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570782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82B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574E70F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2A47BD7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31F3868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16G  PCIE双口</w:t>
            </w:r>
          </w:p>
        </w:tc>
        <w:tc>
          <w:tcPr>
            <w:tcW w:w="825" w:type="dxa"/>
            <w:noWrap w:val="0"/>
            <w:vAlign w:val="top"/>
          </w:tcPr>
          <w:p w14:paraId="7D1252D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84B1AC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A2A973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778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53DD443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光模块</w:t>
            </w:r>
          </w:p>
        </w:tc>
        <w:tc>
          <w:tcPr>
            <w:tcW w:w="3255" w:type="dxa"/>
            <w:noWrap w:val="0"/>
            <w:vAlign w:val="center"/>
          </w:tcPr>
          <w:p w14:paraId="610A11C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627067F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万兆多模模块（LC）</w:t>
            </w:r>
          </w:p>
        </w:tc>
        <w:tc>
          <w:tcPr>
            <w:tcW w:w="825" w:type="dxa"/>
            <w:noWrap w:val="0"/>
            <w:vAlign w:val="top"/>
          </w:tcPr>
          <w:p w14:paraId="470E040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ED3870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D7B3C7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C6B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248FB60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16305C2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5FEA616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万兆单模模块（LC）</w:t>
            </w:r>
          </w:p>
        </w:tc>
        <w:tc>
          <w:tcPr>
            <w:tcW w:w="825" w:type="dxa"/>
            <w:noWrap w:val="0"/>
            <w:vAlign w:val="top"/>
          </w:tcPr>
          <w:p w14:paraId="72D9068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AF59EE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2124BD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8E4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575C690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1A0F5B2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15B4435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千兆多模模块（LC）</w:t>
            </w:r>
          </w:p>
        </w:tc>
        <w:tc>
          <w:tcPr>
            <w:tcW w:w="825" w:type="dxa"/>
            <w:noWrap w:val="0"/>
            <w:vAlign w:val="top"/>
          </w:tcPr>
          <w:p w14:paraId="3F2D008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D835D4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432D64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70A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66E6DA5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4B0FDEF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7096148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千兆单模模块（LC）</w:t>
            </w:r>
          </w:p>
        </w:tc>
        <w:tc>
          <w:tcPr>
            <w:tcW w:w="825" w:type="dxa"/>
            <w:noWrap w:val="0"/>
            <w:vAlign w:val="top"/>
          </w:tcPr>
          <w:p w14:paraId="0072866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29AF908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C0811B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5DE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72C4EF4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p>
        </w:tc>
        <w:tc>
          <w:tcPr>
            <w:tcW w:w="3255" w:type="dxa"/>
            <w:noWrap w:val="0"/>
            <w:vAlign w:val="center"/>
          </w:tcPr>
          <w:p w14:paraId="5C48DA3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5A17E01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光转电模块</w:t>
            </w:r>
          </w:p>
        </w:tc>
        <w:tc>
          <w:tcPr>
            <w:tcW w:w="825" w:type="dxa"/>
            <w:noWrap w:val="0"/>
            <w:vAlign w:val="top"/>
          </w:tcPr>
          <w:p w14:paraId="4621432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47FA0A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B4FBE4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344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noWrap w:val="0"/>
            <w:vAlign w:val="center"/>
          </w:tcPr>
          <w:p w14:paraId="4946150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48口交换机</w:t>
            </w:r>
          </w:p>
        </w:tc>
        <w:tc>
          <w:tcPr>
            <w:tcW w:w="3255" w:type="dxa"/>
            <w:noWrap w:val="0"/>
            <w:vAlign w:val="center"/>
          </w:tcPr>
          <w:p w14:paraId="75BE349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1、配置10/100/1000M以太网端口≥48个，千兆SFP光接口≥4个；</w:t>
            </w:r>
          </w:p>
          <w:p w14:paraId="7FB649D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2、交换容量≥335G，包转发率≥50Mpps。</w:t>
            </w:r>
          </w:p>
          <w:p w14:paraId="0976D11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3、国产</w:t>
            </w:r>
          </w:p>
        </w:tc>
        <w:tc>
          <w:tcPr>
            <w:tcW w:w="2468" w:type="dxa"/>
            <w:noWrap w:val="0"/>
            <w:vAlign w:val="center"/>
          </w:tcPr>
          <w:p w14:paraId="24EE7DF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参选供应商补充</w:t>
            </w:r>
          </w:p>
        </w:tc>
        <w:tc>
          <w:tcPr>
            <w:tcW w:w="825" w:type="dxa"/>
            <w:noWrap w:val="0"/>
            <w:vAlign w:val="top"/>
          </w:tcPr>
          <w:p w14:paraId="2E5BCA7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DB6525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AE8BE1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7E7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noWrap w:val="0"/>
            <w:vAlign w:val="center"/>
          </w:tcPr>
          <w:p w14:paraId="2719C8D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24口交换机</w:t>
            </w:r>
          </w:p>
        </w:tc>
        <w:tc>
          <w:tcPr>
            <w:tcW w:w="3255" w:type="dxa"/>
            <w:noWrap w:val="0"/>
            <w:vAlign w:val="center"/>
          </w:tcPr>
          <w:p w14:paraId="328BBB1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1、配置10/100/1000M以太网端口≥24个，千兆SFP光接口≥4个；</w:t>
            </w:r>
          </w:p>
          <w:p w14:paraId="6E621BC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2、交换容量≥335G，包转发率≥50Mpps。</w:t>
            </w:r>
          </w:p>
          <w:p w14:paraId="0F2E8D0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3、国产</w:t>
            </w:r>
          </w:p>
        </w:tc>
        <w:tc>
          <w:tcPr>
            <w:tcW w:w="2468" w:type="dxa"/>
            <w:noWrap w:val="0"/>
            <w:vAlign w:val="center"/>
          </w:tcPr>
          <w:p w14:paraId="24114E6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参选供应商补充</w:t>
            </w:r>
          </w:p>
        </w:tc>
        <w:tc>
          <w:tcPr>
            <w:tcW w:w="825" w:type="dxa"/>
            <w:noWrap w:val="0"/>
            <w:vAlign w:val="top"/>
          </w:tcPr>
          <w:p w14:paraId="4D9F5C2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68A086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36DF6F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DD2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2D8BA12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服务器内存条</w:t>
            </w:r>
          </w:p>
        </w:tc>
        <w:tc>
          <w:tcPr>
            <w:tcW w:w="3255" w:type="dxa"/>
            <w:noWrap w:val="0"/>
            <w:vAlign w:val="center"/>
          </w:tcPr>
          <w:p w14:paraId="432636D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5B5E6E4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8G 2933MHz</w:t>
            </w:r>
          </w:p>
        </w:tc>
        <w:tc>
          <w:tcPr>
            <w:tcW w:w="825" w:type="dxa"/>
            <w:noWrap w:val="0"/>
            <w:vAlign w:val="top"/>
          </w:tcPr>
          <w:p w14:paraId="431F58A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FB55E2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7B01A3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376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7F84A34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194E1A0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2DDA311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8G 3200MHz</w:t>
            </w:r>
          </w:p>
        </w:tc>
        <w:tc>
          <w:tcPr>
            <w:tcW w:w="825" w:type="dxa"/>
            <w:noWrap w:val="0"/>
            <w:vAlign w:val="top"/>
          </w:tcPr>
          <w:p w14:paraId="5196F1E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B1C4C9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7EF819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216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2945295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224FD14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464C0F5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16G 2933MHz</w:t>
            </w:r>
          </w:p>
        </w:tc>
        <w:tc>
          <w:tcPr>
            <w:tcW w:w="825" w:type="dxa"/>
            <w:noWrap w:val="0"/>
            <w:vAlign w:val="top"/>
          </w:tcPr>
          <w:p w14:paraId="197A509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D0BBAD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089A9F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76BC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6D76491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198D62A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4648496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16G 3200MHz</w:t>
            </w:r>
          </w:p>
        </w:tc>
        <w:tc>
          <w:tcPr>
            <w:tcW w:w="825" w:type="dxa"/>
            <w:noWrap w:val="0"/>
            <w:vAlign w:val="top"/>
          </w:tcPr>
          <w:p w14:paraId="2FAF7FA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7EE68E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3B4E2D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301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750E489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689D8C2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1348619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32G 2933MHz</w:t>
            </w:r>
          </w:p>
        </w:tc>
        <w:tc>
          <w:tcPr>
            <w:tcW w:w="825" w:type="dxa"/>
            <w:noWrap w:val="0"/>
            <w:vAlign w:val="top"/>
          </w:tcPr>
          <w:p w14:paraId="06E1644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CE4697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2B353D5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D68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0ADBEB0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39897C8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0664A5F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32G 3200MHz</w:t>
            </w:r>
          </w:p>
        </w:tc>
        <w:tc>
          <w:tcPr>
            <w:tcW w:w="825" w:type="dxa"/>
            <w:noWrap w:val="0"/>
            <w:vAlign w:val="top"/>
          </w:tcPr>
          <w:p w14:paraId="60B7A34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2BDE02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8BB6D0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14A7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2A2B8A5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128C17B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3FFCF5B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64G 2933MHz</w:t>
            </w:r>
          </w:p>
        </w:tc>
        <w:tc>
          <w:tcPr>
            <w:tcW w:w="825" w:type="dxa"/>
            <w:noWrap w:val="0"/>
            <w:vAlign w:val="top"/>
          </w:tcPr>
          <w:p w14:paraId="2A0D87B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A3BFBF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6979F0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1832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center"/>
          </w:tcPr>
          <w:p w14:paraId="1807926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73DA082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75868D4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DDR4 64G 3200MHz</w:t>
            </w:r>
          </w:p>
        </w:tc>
        <w:tc>
          <w:tcPr>
            <w:tcW w:w="825" w:type="dxa"/>
            <w:noWrap w:val="0"/>
            <w:vAlign w:val="top"/>
          </w:tcPr>
          <w:p w14:paraId="5C26D94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B6E0D9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A0ACC9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09F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40A9E01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服务器硬盘</w:t>
            </w:r>
          </w:p>
        </w:tc>
        <w:tc>
          <w:tcPr>
            <w:tcW w:w="3255" w:type="dxa"/>
            <w:noWrap w:val="0"/>
            <w:vAlign w:val="center"/>
          </w:tcPr>
          <w:p w14:paraId="26EB9708">
            <w:pPr>
              <w:pStyle w:val="3"/>
              <w:keepNext w:val="0"/>
              <w:keepLines w:val="0"/>
              <w:pageBreakBefore w:val="0"/>
              <w:widowControl w:val="0"/>
              <w:numPr>
                <w:ilvl w:val="0"/>
                <w:numId w:val="17"/>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国产</w:t>
            </w:r>
          </w:p>
          <w:p w14:paraId="59ACABD2">
            <w:pPr>
              <w:pStyle w:val="3"/>
              <w:keepNext w:val="0"/>
              <w:keepLines w:val="0"/>
              <w:pageBreakBefore w:val="0"/>
              <w:widowControl w:val="0"/>
              <w:numPr>
                <w:ilvl w:val="0"/>
                <w:numId w:val="17"/>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服务器企业级固态盘</w:t>
            </w:r>
          </w:p>
        </w:tc>
        <w:tc>
          <w:tcPr>
            <w:tcW w:w="2468" w:type="dxa"/>
            <w:noWrap w:val="0"/>
            <w:vAlign w:val="center"/>
          </w:tcPr>
          <w:p w14:paraId="67CF45B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SSD 240G</w:t>
            </w:r>
          </w:p>
        </w:tc>
        <w:tc>
          <w:tcPr>
            <w:tcW w:w="825" w:type="dxa"/>
            <w:noWrap w:val="0"/>
            <w:vAlign w:val="top"/>
          </w:tcPr>
          <w:p w14:paraId="74178CD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972FBD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4BDF6A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F91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6F0912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36EACEFA">
            <w:pPr>
              <w:pStyle w:val="3"/>
              <w:keepNext w:val="0"/>
              <w:keepLines w:val="0"/>
              <w:pageBreakBefore w:val="0"/>
              <w:widowControl w:val="0"/>
              <w:numPr>
                <w:ilvl w:val="0"/>
                <w:numId w:val="18"/>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p w14:paraId="24595724">
            <w:pPr>
              <w:pStyle w:val="3"/>
              <w:keepNext w:val="0"/>
              <w:keepLines w:val="0"/>
              <w:pageBreakBefore w:val="0"/>
              <w:widowControl w:val="0"/>
              <w:numPr>
                <w:ilvl w:val="0"/>
                <w:numId w:val="18"/>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服务器企业级固态盘</w:t>
            </w:r>
          </w:p>
        </w:tc>
        <w:tc>
          <w:tcPr>
            <w:tcW w:w="2468" w:type="dxa"/>
            <w:noWrap w:val="0"/>
            <w:vAlign w:val="center"/>
          </w:tcPr>
          <w:p w14:paraId="3445861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SSD 480G</w:t>
            </w:r>
          </w:p>
        </w:tc>
        <w:tc>
          <w:tcPr>
            <w:tcW w:w="825" w:type="dxa"/>
            <w:noWrap w:val="0"/>
            <w:vAlign w:val="top"/>
          </w:tcPr>
          <w:p w14:paraId="1FBDE6E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654CE1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E5ED3A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2D1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E39D6E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5D6E739E">
            <w:pPr>
              <w:pStyle w:val="3"/>
              <w:keepNext w:val="0"/>
              <w:keepLines w:val="0"/>
              <w:pageBreakBefore w:val="0"/>
              <w:widowControl w:val="0"/>
              <w:numPr>
                <w:ilvl w:val="0"/>
                <w:numId w:val="19"/>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国产</w:t>
            </w:r>
          </w:p>
          <w:p w14:paraId="2BE8F2BE">
            <w:pPr>
              <w:pStyle w:val="3"/>
              <w:keepNext w:val="0"/>
              <w:keepLines w:val="0"/>
              <w:pageBreakBefore w:val="0"/>
              <w:widowControl w:val="0"/>
              <w:numPr>
                <w:ilvl w:val="0"/>
                <w:numId w:val="19"/>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vertAlign w:val="baseline"/>
                <w:lang w:val="en-US" w:eastAsia="zh-CN"/>
              </w:rPr>
              <w:t>服务器企业级固态盘</w:t>
            </w:r>
          </w:p>
        </w:tc>
        <w:tc>
          <w:tcPr>
            <w:tcW w:w="2468" w:type="dxa"/>
            <w:noWrap w:val="0"/>
            <w:vAlign w:val="center"/>
          </w:tcPr>
          <w:p w14:paraId="25A2E13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SSD 960G</w:t>
            </w:r>
          </w:p>
        </w:tc>
        <w:tc>
          <w:tcPr>
            <w:tcW w:w="825" w:type="dxa"/>
            <w:noWrap w:val="0"/>
            <w:vAlign w:val="top"/>
          </w:tcPr>
          <w:p w14:paraId="2E6CA51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C9F52F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995877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759A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9E63BE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30F51E72">
            <w:pPr>
              <w:pStyle w:val="3"/>
              <w:keepNext w:val="0"/>
              <w:keepLines w:val="0"/>
              <w:pageBreakBefore w:val="0"/>
              <w:widowControl w:val="0"/>
              <w:numPr>
                <w:ilvl w:val="0"/>
                <w:numId w:val="20"/>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p w14:paraId="285E8322">
            <w:pPr>
              <w:pStyle w:val="3"/>
              <w:keepNext w:val="0"/>
              <w:keepLines w:val="0"/>
              <w:pageBreakBefore w:val="0"/>
              <w:widowControl w:val="0"/>
              <w:numPr>
                <w:ilvl w:val="0"/>
                <w:numId w:val="20"/>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vertAlign w:val="baseline"/>
                <w:lang w:val="en-US" w:eastAsia="zh-CN"/>
              </w:rPr>
              <w:t>服务器企业级固态盘</w:t>
            </w:r>
          </w:p>
        </w:tc>
        <w:tc>
          <w:tcPr>
            <w:tcW w:w="2468" w:type="dxa"/>
            <w:noWrap w:val="0"/>
            <w:vAlign w:val="center"/>
          </w:tcPr>
          <w:p w14:paraId="4EDAEBE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SSD 1.92T</w:t>
            </w:r>
          </w:p>
        </w:tc>
        <w:tc>
          <w:tcPr>
            <w:tcW w:w="825" w:type="dxa"/>
            <w:noWrap w:val="0"/>
            <w:vAlign w:val="top"/>
          </w:tcPr>
          <w:p w14:paraId="2BA9C7A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7E4049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148F30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1973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7450FC5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042E4CD5">
            <w:pPr>
              <w:pStyle w:val="3"/>
              <w:keepNext w:val="0"/>
              <w:keepLines w:val="0"/>
              <w:pageBreakBefore w:val="0"/>
              <w:widowControl w:val="0"/>
              <w:numPr>
                <w:ilvl w:val="0"/>
                <w:numId w:val="21"/>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国产</w:t>
            </w:r>
          </w:p>
          <w:p w14:paraId="066784D2">
            <w:pPr>
              <w:pStyle w:val="3"/>
              <w:keepNext w:val="0"/>
              <w:keepLines w:val="0"/>
              <w:pageBreakBefore w:val="0"/>
              <w:widowControl w:val="0"/>
              <w:numPr>
                <w:ilvl w:val="0"/>
                <w:numId w:val="21"/>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vertAlign w:val="baseline"/>
                <w:lang w:val="en-US" w:eastAsia="zh-CN"/>
              </w:rPr>
              <w:t>服务器企业级固态盘</w:t>
            </w:r>
          </w:p>
        </w:tc>
        <w:tc>
          <w:tcPr>
            <w:tcW w:w="2468" w:type="dxa"/>
            <w:noWrap w:val="0"/>
            <w:vAlign w:val="center"/>
          </w:tcPr>
          <w:p w14:paraId="57AD022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SSD 3.84T</w:t>
            </w:r>
          </w:p>
        </w:tc>
        <w:tc>
          <w:tcPr>
            <w:tcW w:w="825" w:type="dxa"/>
            <w:noWrap w:val="0"/>
            <w:vAlign w:val="top"/>
          </w:tcPr>
          <w:p w14:paraId="5CFCE9D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398107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F3CD83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1882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6EB8CD8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071C770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09A3CC6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600G 15K</w:t>
            </w:r>
          </w:p>
        </w:tc>
        <w:tc>
          <w:tcPr>
            <w:tcW w:w="825" w:type="dxa"/>
            <w:noWrap w:val="0"/>
            <w:vAlign w:val="top"/>
          </w:tcPr>
          <w:p w14:paraId="27E2FB4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B16DAC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E87343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13B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10720D8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1205F67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1D83E3D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1.2T 10K</w:t>
            </w:r>
          </w:p>
        </w:tc>
        <w:tc>
          <w:tcPr>
            <w:tcW w:w="825" w:type="dxa"/>
            <w:noWrap w:val="0"/>
            <w:vAlign w:val="top"/>
          </w:tcPr>
          <w:p w14:paraId="1AA9501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5D9030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5965DF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B4F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58554BE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4E3BE23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18DAC5B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1.8T 10K</w:t>
            </w:r>
          </w:p>
        </w:tc>
        <w:tc>
          <w:tcPr>
            <w:tcW w:w="825" w:type="dxa"/>
            <w:noWrap w:val="0"/>
            <w:vAlign w:val="top"/>
          </w:tcPr>
          <w:p w14:paraId="01663AE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8BA8EC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4BFA2A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B71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447B675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614DFB6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397B166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2.4T 10K</w:t>
            </w:r>
          </w:p>
        </w:tc>
        <w:tc>
          <w:tcPr>
            <w:tcW w:w="825" w:type="dxa"/>
            <w:noWrap w:val="0"/>
            <w:vAlign w:val="top"/>
          </w:tcPr>
          <w:p w14:paraId="77B19F1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FE2DC6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E17103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16D4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897661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1A1CFDF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4741B8A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4T 7.2K</w:t>
            </w:r>
          </w:p>
        </w:tc>
        <w:tc>
          <w:tcPr>
            <w:tcW w:w="825" w:type="dxa"/>
            <w:noWrap w:val="0"/>
            <w:vAlign w:val="top"/>
          </w:tcPr>
          <w:p w14:paraId="55221E5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1CD5B5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D9DADD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3BBF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329B84C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42EB729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1A41533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6T 7.2K</w:t>
            </w:r>
          </w:p>
        </w:tc>
        <w:tc>
          <w:tcPr>
            <w:tcW w:w="825" w:type="dxa"/>
            <w:noWrap w:val="0"/>
            <w:vAlign w:val="top"/>
          </w:tcPr>
          <w:p w14:paraId="114D94A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B53216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811160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374C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110029D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59D89F2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6E9F653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8T 7.2K</w:t>
            </w:r>
          </w:p>
        </w:tc>
        <w:tc>
          <w:tcPr>
            <w:tcW w:w="825" w:type="dxa"/>
            <w:noWrap w:val="0"/>
            <w:vAlign w:val="top"/>
          </w:tcPr>
          <w:p w14:paraId="10705C5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5A0450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22F5ED0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1BA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6A1911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6141EF3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50C3708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12T 7.2K</w:t>
            </w:r>
          </w:p>
        </w:tc>
        <w:tc>
          <w:tcPr>
            <w:tcW w:w="825" w:type="dxa"/>
            <w:noWrap w:val="0"/>
            <w:vAlign w:val="top"/>
          </w:tcPr>
          <w:p w14:paraId="7E60DC8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844D51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2F4525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289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4B557E4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7754673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0ED9EF9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SAS 16T 7.2K</w:t>
            </w:r>
          </w:p>
        </w:tc>
        <w:tc>
          <w:tcPr>
            <w:tcW w:w="825" w:type="dxa"/>
            <w:noWrap w:val="0"/>
            <w:vAlign w:val="top"/>
          </w:tcPr>
          <w:p w14:paraId="2C11004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215F22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9409BC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30C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3CEC9C8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75DDDB5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6DFE2C7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SATA 4T 7.2K</w:t>
            </w:r>
          </w:p>
        </w:tc>
        <w:tc>
          <w:tcPr>
            <w:tcW w:w="825" w:type="dxa"/>
            <w:noWrap w:val="0"/>
            <w:vAlign w:val="top"/>
          </w:tcPr>
          <w:p w14:paraId="6E89A82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A7A538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33C2FE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827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F0972C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600C651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7164D4F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SATA 6T 7.2K</w:t>
            </w:r>
          </w:p>
        </w:tc>
        <w:tc>
          <w:tcPr>
            <w:tcW w:w="825" w:type="dxa"/>
            <w:noWrap w:val="0"/>
            <w:vAlign w:val="top"/>
          </w:tcPr>
          <w:p w14:paraId="2CCEA01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4B6D3A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51C871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301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50D735F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7D6AF3C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1E7CA8A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SATA 8T 7.2K</w:t>
            </w:r>
          </w:p>
        </w:tc>
        <w:tc>
          <w:tcPr>
            <w:tcW w:w="825" w:type="dxa"/>
            <w:noWrap w:val="0"/>
            <w:vAlign w:val="top"/>
          </w:tcPr>
          <w:p w14:paraId="51EBEC3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DDBA46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96501A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603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5AA614E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47ADD11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326E2A1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SATA 12T 7.2K</w:t>
            </w:r>
          </w:p>
        </w:tc>
        <w:tc>
          <w:tcPr>
            <w:tcW w:w="825" w:type="dxa"/>
            <w:noWrap w:val="0"/>
            <w:vAlign w:val="top"/>
          </w:tcPr>
          <w:p w14:paraId="07E5C1D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F8F640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662059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0A9F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7C56FFA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3A3C417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568E54C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SATA 16T 7.2K</w:t>
            </w:r>
          </w:p>
        </w:tc>
        <w:tc>
          <w:tcPr>
            <w:tcW w:w="825" w:type="dxa"/>
            <w:noWrap w:val="0"/>
            <w:vAlign w:val="top"/>
          </w:tcPr>
          <w:p w14:paraId="5D250D0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A0258C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5CBDAF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4B2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noWrap w:val="0"/>
            <w:vAlign w:val="top"/>
          </w:tcPr>
          <w:p w14:paraId="0BDD455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阵列卡</w:t>
            </w:r>
          </w:p>
        </w:tc>
        <w:tc>
          <w:tcPr>
            <w:tcW w:w="3255" w:type="dxa"/>
            <w:noWrap w:val="0"/>
            <w:vAlign w:val="center"/>
          </w:tcPr>
          <w:p w14:paraId="1EBF78F2">
            <w:pPr>
              <w:pStyle w:val="3"/>
              <w:keepNext w:val="0"/>
              <w:keepLines w:val="0"/>
              <w:pageBreakBefore w:val="0"/>
              <w:widowControl w:val="0"/>
              <w:numPr>
                <w:ilvl w:val="0"/>
                <w:numId w:val="22"/>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支持RAID0、1、5和JBOD模式</w:t>
            </w:r>
          </w:p>
          <w:p w14:paraId="5875E5BF">
            <w:pPr>
              <w:pStyle w:val="3"/>
              <w:keepNext w:val="0"/>
              <w:keepLines w:val="0"/>
              <w:pageBreakBefore w:val="0"/>
              <w:widowControl w:val="0"/>
              <w:numPr>
                <w:ilvl w:val="0"/>
                <w:numId w:val="22"/>
              </w:numPr>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1E168E1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参选供应商补充</w:t>
            </w:r>
          </w:p>
        </w:tc>
        <w:tc>
          <w:tcPr>
            <w:tcW w:w="825" w:type="dxa"/>
            <w:noWrap w:val="0"/>
            <w:vAlign w:val="top"/>
          </w:tcPr>
          <w:p w14:paraId="63BFB5F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DC7096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2E1B266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C9A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noWrap w:val="0"/>
            <w:vAlign w:val="top"/>
          </w:tcPr>
          <w:p w14:paraId="0191460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服务器风扇</w:t>
            </w:r>
          </w:p>
        </w:tc>
        <w:tc>
          <w:tcPr>
            <w:tcW w:w="3255" w:type="dxa"/>
            <w:noWrap w:val="0"/>
            <w:vAlign w:val="center"/>
          </w:tcPr>
          <w:p w14:paraId="605575C2">
            <w:pPr>
              <w:pStyle w:val="3"/>
              <w:keepNext w:val="0"/>
              <w:keepLines w:val="0"/>
              <w:pageBreakBefore w:val="0"/>
              <w:widowControl w:val="0"/>
              <w:numPr>
                <w:ilvl w:val="0"/>
                <w:numId w:val="23"/>
              </w:numPr>
              <w:suppressLineNumbers w:val="0"/>
              <w:kinsoku/>
              <w:wordWrap/>
              <w:overflowPunct/>
              <w:topLinePunct w:val="0"/>
              <w:autoSpaceDE/>
              <w:autoSpaceDN/>
              <w:bidi w:val="0"/>
              <w:spacing w:before="0" w:beforeAutospacing="0" w:after="0" w:afterAutospacing="0"/>
              <w:ind w:left="0" w:right="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p w14:paraId="289C5011">
            <w:pPr>
              <w:pStyle w:val="3"/>
              <w:keepNext w:val="0"/>
              <w:keepLines w:val="0"/>
              <w:pageBreakBefore w:val="0"/>
              <w:widowControl w:val="0"/>
              <w:numPr>
                <w:ilvl w:val="0"/>
                <w:numId w:val="23"/>
              </w:numPr>
              <w:suppressLineNumbers w:val="0"/>
              <w:kinsoku/>
              <w:wordWrap/>
              <w:overflowPunct/>
              <w:topLinePunct w:val="0"/>
              <w:autoSpaceDE/>
              <w:autoSpaceDN/>
              <w:bidi w:val="0"/>
              <w:spacing w:before="0" w:beforeAutospacing="0" w:after="0" w:afterAutospacing="0"/>
              <w:ind w:left="0" w:right="0"/>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转速：1000 RP-5000 RPM</w:t>
            </w:r>
          </w:p>
        </w:tc>
        <w:tc>
          <w:tcPr>
            <w:tcW w:w="2468" w:type="dxa"/>
            <w:noWrap w:val="0"/>
            <w:vAlign w:val="center"/>
          </w:tcPr>
          <w:p w14:paraId="7F2ACE9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参选供应商补充</w:t>
            </w:r>
          </w:p>
        </w:tc>
        <w:tc>
          <w:tcPr>
            <w:tcW w:w="825" w:type="dxa"/>
            <w:noWrap w:val="0"/>
            <w:vAlign w:val="top"/>
          </w:tcPr>
          <w:p w14:paraId="46A6641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6B49E9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2A779B5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AE3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5D94BC9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服务器电源</w:t>
            </w:r>
          </w:p>
        </w:tc>
        <w:tc>
          <w:tcPr>
            <w:tcW w:w="3255" w:type="dxa"/>
            <w:noWrap w:val="0"/>
            <w:vAlign w:val="center"/>
          </w:tcPr>
          <w:p w14:paraId="5891FE4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388FFBB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750W</w:t>
            </w:r>
          </w:p>
        </w:tc>
        <w:tc>
          <w:tcPr>
            <w:tcW w:w="825" w:type="dxa"/>
            <w:noWrap w:val="0"/>
            <w:vAlign w:val="top"/>
          </w:tcPr>
          <w:p w14:paraId="7EE249E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B03111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3ED6B7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79C5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2F82BCD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574FA90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7886079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800W</w:t>
            </w:r>
          </w:p>
        </w:tc>
        <w:tc>
          <w:tcPr>
            <w:tcW w:w="825" w:type="dxa"/>
            <w:noWrap w:val="0"/>
            <w:vAlign w:val="top"/>
          </w:tcPr>
          <w:p w14:paraId="7286AD2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012E59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E8E493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8A6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77C2C75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16E32FC6">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0972963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850W</w:t>
            </w:r>
          </w:p>
        </w:tc>
        <w:tc>
          <w:tcPr>
            <w:tcW w:w="825" w:type="dxa"/>
            <w:noWrap w:val="0"/>
            <w:vAlign w:val="top"/>
          </w:tcPr>
          <w:p w14:paraId="5033EA3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85CF69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0C8743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DBF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0C33E05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480DA6A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38C97B8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900W</w:t>
            </w:r>
          </w:p>
        </w:tc>
        <w:tc>
          <w:tcPr>
            <w:tcW w:w="825" w:type="dxa"/>
            <w:noWrap w:val="0"/>
            <w:vAlign w:val="top"/>
          </w:tcPr>
          <w:p w14:paraId="30DEA79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1202BF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E5E463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11F6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3D8A254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54089C73">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14E9706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1000W</w:t>
            </w:r>
          </w:p>
        </w:tc>
        <w:tc>
          <w:tcPr>
            <w:tcW w:w="825" w:type="dxa"/>
            <w:noWrap w:val="0"/>
            <w:vAlign w:val="top"/>
          </w:tcPr>
          <w:p w14:paraId="534F87B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AD94AD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F1B4A3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DE7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397A0B7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0EACE09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国产</w:t>
            </w:r>
          </w:p>
        </w:tc>
        <w:tc>
          <w:tcPr>
            <w:tcW w:w="2468" w:type="dxa"/>
            <w:noWrap w:val="0"/>
            <w:vAlign w:val="center"/>
          </w:tcPr>
          <w:p w14:paraId="79EFA8F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1100W</w:t>
            </w:r>
          </w:p>
        </w:tc>
        <w:tc>
          <w:tcPr>
            <w:tcW w:w="825" w:type="dxa"/>
            <w:noWrap w:val="0"/>
            <w:vAlign w:val="top"/>
          </w:tcPr>
          <w:p w14:paraId="784F6DE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4096CBC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A82C5E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CD1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19B4289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661B9885">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国产</w:t>
            </w:r>
          </w:p>
        </w:tc>
        <w:tc>
          <w:tcPr>
            <w:tcW w:w="2468" w:type="dxa"/>
            <w:noWrap w:val="0"/>
            <w:vAlign w:val="center"/>
          </w:tcPr>
          <w:p w14:paraId="3CF4855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1200W</w:t>
            </w:r>
          </w:p>
        </w:tc>
        <w:tc>
          <w:tcPr>
            <w:tcW w:w="825" w:type="dxa"/>
            <w:noWrap w:val="0"/>
            <w:vAlign w:val="top"/>
          </w:tcPr>
          <w:p w14:paraId="53CE931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68C5F85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419FD9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E33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restart"/>
            <w:noWrap w:val="0"/>
            <w:vAlign w:val="center"/>
          </w:tcPr>
          <w:p w14:paraId="1152AAF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电源模块</w:t>
            </w:r>
          </w:p>
        </w:tc>
        <w:tc>
          <w:tcPr>
            <w:tcW w:w="3255" w:type="dxa"/>
            <w:noWrap w:val="0"/>
            <w:vAlign w:val="center"/>
          </w:tcPr>
          <w:p w14:paraId="14E6C1F4">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sz w:val="18"/>
                <w:szCs w:val="18"/>
                <w:vertAlign w:val="baseline"/>
                <w:lang w:val="en-US" w:eastAsia="zh-CN"/>
              </w:rPr>
              <w:t>国产</w:t>
            </w:r>
          </w:p>
        </w:tc>
        <w:tc>
          <w:tcPr>
            <w:tcW w:w="2468" w:type="dxa"/>
            <w:noWrap w:val="0"/>
            <w:vAlign w:val="center"/>
          </w:tcPr>
          <w:p w14:paraId="4CBA49A0">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120W</w:t>
            </w:r>
          </w:p>
        </w:tc>
        <w:tc>
          <w:tcPr>
            <w:tcW w:w="825" w:type="dxa"/>
            <w:noWrap w:val="0"/>
            <w:vAlign w:val="top"/>
          </w:tcPr>
          <w:p w14:paraId="5CC3C138">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36B922E">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0E6F54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575F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78322DB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61F8DEED">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国产</w:t>
            </w:r>
          </w:p>
        </w:tc>
        <w:tc>
          <w:tcPr>
            <w:tcW w:w="2468" w:type="dxa"/>
            <w:noWrap w:val="0"/>
            <w:vAlign w:val="center"/>
          </w:tcPr>
          <w:p w14:paraId="7EFC1B5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650W</w:t>
            </w:r>
          </w:p>
        </w:tc>
        <w:tc>
          <w:tcPr>
            <w:tcW w:w="825" w:type="dxa"/>
            <w:noWrap w:val="0"/>
            <w:vAlign w:val="top"/>
          </w:tcPr>
          <w:p w14:paraId="5C027B3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3F777E7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2300BE2B">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6D62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vMerge w:val="continue"/>
            <w:noWrap w:val="0"/>
            <w:vAlign w:val="top"/>
          </w:tcPr>
          <w:p w14:paraId="5856BFA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p>
        </w:tc>
        <w:tc>
          <w:tcPr>
            <w:tcW w:w="3255" w:type="dxa"/>
            <w:noWrap w:val="0"/>
            <w:vAlign w:val="center"/>
          </w:tcPr>
          <w:p w14:paraId="534B0597">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国产</w:t>
            </w:r>
          </w:p>
        </w:tc>
        <w:tc>
          <w:tcPr>
            <w:tcW w:w="2468" w:type="dxa"/>
            <w:noWrap w:val="0"/>
            <w:vAlign w:val="center"/>
          </w:tcPr>
          <w:p w14:paraId="3ACE28C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800W</w:t>
            </w:r>
          </w:p>
        </w:tc>
        <w:tc>
          <w:tcPr>
            <w:tcW w:w="825" w:type="dxa"/>
            <w:noWrap w:val="0"/>
            <w:vAlign w:val="top"/>
          </w:tcPr>
          <w:p w14:paraId="0E1F49D7">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1F936C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136433F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294C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noWrap w:val="0"/>
            <w:vAlign w:val="center"/>
          </w:tcPr>
          <w:p w14:paraId="21C72E1F">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无线AP</w:t>
            </w:r>
          </w:p>
        </w:tc>
        <w:tc>
          <w:tcPr>
            <w:tcW w:w="3255" w:type="dxa"/>
            <w:noWrap w:val="0"/>
            <w:vAlign w:val="center"/>
          </w:tcPr>
          <w:p w14:paraId="0101F557">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1.支持Wi-Fi6双射频通用级智分微型无线接入点；</w:t>
            </w:r>
          </w:p>
          <w:p w14:paraId="143B00A0">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2.整机最大支持≥4条空间流，最高无线接入速率≥2.975Gbps；</w:t>
            </w:r>
          </w:p>
          <w:p w14:paraId="01CA8241">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3.支持802.11b/g/n/ax和802.11a/n/ac/ax同时工作；</w:t>
            </w:r>
          </w:p>
          <w:p w14:paraId="1EB46825">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4.接口：≥1个千兆上联接口，≥4个千兆下联接口；</w:t>
            </w:r>
          </w:p>
          <w:p w14:paraId="6F7706C7">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5.支持壁挂/吸顶/面板安装；</w:t>
            </w:r>
          </w:p>
          <w:p w14:paraId="0F027CC7">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6.支持接入医院现有的AC无线控制器（</w:t>
            </w:r>
            <w:r>
              <w:rPr>
                <w:rFonts w:hint="eastAsia" w:ascii="宋体" w:hAnsi="宋体" w:eastAsia="宋体" w:cs="宋体"/>
                <w:sz w:val="18"/>
                <w:szCs w:val="18"/>
                <w:vertAlign w:val="baseline"/>
                <w:lang w:val="en-US" w:eastAsia="zh-CN"/>
              </w:rPr>
              <w:fldChar w:fldCharType="begin"/>
            </w:r>
            <w:r>
              <w:rPr>
                <w:rFonts w:hint="eastAsia" w:ascii="宋体" w:hAnsi="宋体" w:eastAsia="宋体" w:cs="宋体"/>
                <w:sz w:val="18"/>
                <w:szCs w:val="18"/>
                <w:vertAlign w:val="baseline"/>
                <w:lang w:val="en-US" w:eastAsia="zh-CN"/>
              </w:rPr>
              <w:instrText xml:space="preserve"> HYPERLINK "https://www.baidu.com/link?url=cD4VSiFFj4Sjouz6WV3RVk2SmoOsetkYsL2vtT5M8SSMQeDIAVfgNtla7lBThiEuRqdGTVbfbdStRcN0fChLEdseyAiI80D8v9S6C4snsYq&amp;wd=&amp;eqid=967719dc01f2130f0000000668228f50" \t "https://www.baidu.com/_blank" </w:instrText>
            </w:r>
            <w:r>
              <w:rPr>
                <w:rFonts w:hint="eastAsia" w:ascii="宋体" w:hAnsi="宋体" w:eastAsia="宋体" w:cs="宋体"/>
                <w:sz w:val="18"/>
                <w:szCs w:val="18"/>
                <w:vertAlign w:val="baseline"/>
                <w:lang w:val="en-US" w:eastAsia="zh-CN"/>
              </w:rPr>
              <w:fldChar w:fldCharType="separate"/>
            </w:r>
            <w:r>
              <w:rPr>
                <w:rFonts w:hint="eastAsia" w:ascii="宋体" w:hAnsi="宋体" w:eastAsia="宋体" w:cs="宋体"/>
                <w:sz w:val="18"/>
                <w:szCs w:val="18"/>
                <w:vertAlign w:val="baseline"/>
                <w:lang w:val="en-US" w:eastAsia="zh-CN"/>
              </w:rPr>
              <w:t>锐捷RG-WS6812）进行管理；</w:t>
            </w:r>
            <w:r>
              <w:rPr>
                <w:rFonts w:hint="eastAsia" w:ascii="宋体" w:hAnsi="宋体" w:eastAsia="宋体" w:cs="宋体"/>
                <w:sz w:val="18"/>
                <w:szCs w:val="18"/>
                <w:vertAlign w:val="baseline"/>
                <w:lang w:val="en-US" w:eastAsia="zh-CN"/>
              </w:rPr>
              <w:fldChar w:fldCharType="end"/>
            </w:r>
          </w:p>
          <w:p w14:paraId="75365871">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7.国产。</w:t>
            </w:r>
          </w:p>
        </w:tc>
        <w:tc>
          <w:tcPr>
            <w:tcW w:w="2468" w:type="dxa"/>
            <w:noWrap w:val="0"/>
            <w:vAlign w:val="center"/>
          </w:tcPr>
          <w:p w14:paraId="5A66CEF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参选供应商补充</w:t>
            </w:r>
          </w:p>
        </w:tc>
        <w:tc>
          <w:tcPr>
            <w:tcW w:w="825" w:type="dxa"/>
            <w:noWrap w:val="0"/>
            <w:vAlign w:val="top"/>
          </w:tcPr>
          <w:p w14:paraId="09FC9F25">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763BED51">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07F5839">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r w14:paraId="41A2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noWrap w:val="0"/>
            <w:vAlign w:val="center"/>
          </w:tcPr>
          <w:p w14:paraId="45477B8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center"/>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放装AP</w:t>
            </w:r>
          </w:p>
        </w:tc>
        <w:tc>
          <w:tcPr>
            <w:tcW w:w="3255" w:type="dxa"/>
            <w:noWrap w:val="0"/>
            <w:vAlign w:val="center"/>
          </w:tcPr>
          <w:p w14:paraId="32716947">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1．支持802.11ax双路双频通用级放装型无线接入点；</w:t>
            </w:r>
          </w:p>
          <w:p w14:paraId="0A71A445">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2．支持极简以太光方案；</w:t>
            </w:r>
          </w:p>
          <w:p w14:paraId="10C1F835">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3．接口：≥1个1Gbps以太网电口，≥1个2.5Gbps SFP光口；</w:t>
            </w:r>
          </w:p>
          <w:p w14:paraId="2AA48A22">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4．整机最大支持≥4条空间流，整机最高接入速率≥2.975Gbps，可支持802.11a/b/g/n/ac和802.11ax工作，胖/瘦模式切换、802.3af供电和本地供电；</w:t>
            </w:r>
          </w:p>
          <w:p w14:paraId="057629C6">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5．支持接入医院现有的AC无线控制器（</w:t>
            </w:r>
            <w:r>
              <w:rPr>
                <w:rFonts w:hint="eastAsia" w:ascii="宋体" w:hAnsi="宋体" w:eastAsia="宋体" w:cs="宋体"/>
                <w:sz w:val="18"/>
                <w:szCs w:val="18"/>
                <w:vertAlign w:val="baseline"/>
                <w:lang w:val="en-US" w:eastAsia="zh-CN"/>
              </w:rPr>
              <w:fldChar w:fldCharType="begin"/>
            </w:r>
            <w:r>
              <w:rPr>
                <w:rFonts w:hint="eastAsia" w:ascii="宋体" w:hAnsi="宋体" w:eastAsia="宋体" w:cs="宋体"/>
                <w:sz w:val="18"/>
                <w:szCs w:val="18"/>
                <w:vertAlign w:val="baseline"/>
                <w:lang w:val="en-US" w:eastAsia="zh-CN"/>
              </w:rPr>
              <w:instrText xml:space="preserve"> HYPERLINK "https://www.baidu.com/link?url=cD4VSiFFj4Sjouz6WV3RVk2SmoOsetkYsL2vtT5M8SSMQeDIAVfgNtla7lBThiEuRqdGTVbfbdStRcN0fChLEdseyAiI80D8v9S6C4snsYq&amp;wd=&amp;eqid=967719dc01f2130f0000000668228f50" \t "https://www.baidu.com/_blank" </w:instrText>
            </w:r>
            <w:r>
              <w:rPr>
                <w:rFonts w:hint="eastAsia" w:ascii="宋体" w:hAnsi="宋体" w:eastAsia="宋体" w:cs="宋体"/>
                <w:sz w:val="18"/>
                <w:szCs w:val="18"/>
                <w:vertAlign w:val="baseline"/>
                <w:lang w:val="en-US" w:eastAsia="zh-CN"/>
              </w:rPr>
              <w:fldChar w:fldCharType="separate"/>
            </w:r>
            <w:r>
              <w:rPr>
                <w:rFonts w:hint="eastAsia" w:ascii="宋体" w:hAnsi="宋体" w:eastAsia="宋体" w:cs="宋体"/>
                <w:sz w:val="18"/>
                <w:szCs w:val="18"/>
                <w:vertAlign w:val="baseline"/>
                <w:lang w:val="en-US" w:eastAsia="zh-CN"/>
              </w:rPr>
              <w:t>锐捷RG-WS6812）进行管理；</w:t>
            </w:r>
          </w:p>
          <w:p w14:paraId="4C8918D5">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6.国产。</w:t>
            </w:r>
          </w:p>
          <w:p w14:paraId="7AE40317">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fldChar w:fldCharType="end"/>
            </w:r>
          </w:p>
        </w:tc>
        <w:tc>
          <w:tcPr>
            <w:tcW w:w="2468" w:type="dxa"/>
            <w:noWrap w:val="0"/>
            <w:vAlign w:val="center"/>
          </w:tcPr>
          <w:p w14:paraId="420D870F">
            <w:pPr>
              <w:pStyle w:val="3"/>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ind w:left="0" w:leftChars="0" w:right="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参选供应商补充</w:t>
            </w:r>
          </w:p>
        </w:tc>
        <w:tc>
          <w:tcPr>
            <w:tcW w:w="825" w:type="dxa"/>
            <w:noWrap w:val="0"/>
            <w:vAlign w:val="top"/>
          </w:tcPr>
          <w:p w14:paraId="50FA5D1A">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0D931CBC">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c>
          <w:tcPr>
            <w:tcW w:w="803" w:type="dxa"/>
            <w:noWrap w:val="0"/>
            <w:vAlign w:val="top"/>
          </w:tcPr>
          <w:p w14:paraId="5666A552">
            <w:pPr>
              <w:pStyle w:val="3"/>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jc w:val="both"/>
              <w:textAlignment w:val="auto"/>
              <w:rPr>
                <w:rFonts w:hint="eastAsia" w:ascii="宋体" w:hAnsi="宋体" w:eastAsia="宋体" w:cs="宋体"/>
                <w:sz w:val="18"/>
                <w:szCs w:val="18"/>
                <w:vertAlign w:val="baseline"/>
                <w:lang w:val="en-US" w:eastAsia="zh-CN"/>
              </w:rPr>
            </w:pPr>
          </w:p>
        </w:tc>
      </w:tr>
    </w:tbl>
    <w:p w14:paraId="68F6534E">
      <w:pPr>
        <w:pStyle w:val="3"/>
        <w:rPr>
          <w:rFonts w:hint="eastAsia" w:ascii="宋体" w:hAnsi="宋体" w:eastAsia="宋体" w:cs="宋体"/>
          <w:color w:val="000000"/>
        </w:rPr>
      </w:pPr>
    </w:p>
    <w:p w14:paraId="11E9FD94">
      <w:pPr>
        <w:pStyle w:val="3"/>
        <w:rPr>
          <w:rFonts w:hint="eastAsia" w:ascii="宋体" w:hAnsi="宋体" w:eastAsia="宋体" w:cs="宋体"/>
          <w:color w:val="000000"/>
          <w:lang w:eastAsia="zh-CN"/>
        </w:rPr>
      </w:pPr>
      <w:r>
        <w:rPr>
          <w:rFonts w:hint="eastAsia" w:ascii="宋体" w:hAnsi="宋体" w:eastAsia="宋体" w:cs="宋体"/>
          <w:color w:val="000000"/>
          <w:lang w:eastAsia="zh-CN"/>
        </w:rPr>
        <w:t>注：</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lang w:val="en-US" w:eastAsia="zh-CN"/>
        </w:rPr>
        <w:t>须对信息机房常用设备及耗材（包含但不限于下表中列明的品目）进行报价，内容须包含品名、品牌、规格型号、单价等信息；合同服务期内，采购人如有相关需求，可直接按成交供应商在比选文件中提交的最终价格由</w:t>
      </w:r>
      <w:r>
        <w:rPr>
          <w:rFonts w:hint="eastAsia" w:ascii="宋体" w:hAnsi="宋体" w:eastAsia="宋体" w:cs="宋体"/>
          <w:color w:val="000000"/>
          <w:sz w:val="24"/>
          <w:szCs w:val="24"/>
          <w:lang w:eastAsia="zh-CN"/>
        </w:rPr>
        <w:t>参选供应商</w:t>
      </w:r>
      <w:r>
        <w:rPr>
          <w:rFonts w:hint="eastAsia" w:ascii="宋体" w:hAnsi="宋体" w:eastAsia="宋体" w:cs="宋体"/>
          <w:color w:val="000000"/>
          <w:sz w:val="24"/>
          <w:szCs w:val="24"/>
          <w:lang w:val="en-US" w:eastAsia="zh-CN"/>
        </w:rPr>
        <w:t>供货安装，无需另行询价。注：本报价表自2026年12月5日起执行，耗材费用不计入本次采购预算总额。</w:t>
      </w:r>
    </w:p>
    <w:p w14:paraId="7F892BB5">
      <w:pPr>
        <w:pStyle w:val="3"/>
        <w:rPr>
          <w:rFonts w:hint="eastAsia" w:ascii="宋体" w:hAnsi="宋体" w:eastAsia="宋体" w:cs="宋体"/>
          <w:color w:val="000000"/>
        </w:rPr>
      </w:pPr>
    </w:p>
    <w:p w14:paraId="24AD03C2">
      <w:pPr>
        <w:pStyle w:val="3"/>
        <w:rPr>
          <w:rFonts w:hint="eastAsia" w:ascii="宋体" w:hAnsi="宋体" w:eastAsia="宋体" w:cs="宋体"/>
          <w:color w:val="000000"/>
        </w:rPr>
      </w:pPr>
    </w:p>
    <w:p w14:paraId="353FC589">
      <w:pPr>
        <w:rPr>
          <w:rFonts w:hint="eastAsia" w:ascii="宋体" w:hAnsi="宋体" w:eastAsia="宋体" w:cs="宋体"/>
          <w:color w:val="000000"/>
        </w:rPr>
      </w:pPr>
    </w:p>
    <w:p w14:paraId="227DA173">
      <w:pPr>
        <w:rPr>
          <w:rFonts w:hint="eastAsia" w:ascii="宋体" w:hAnsi="宋体" w:eastAsia="宋体" w:cs="宋体"/>
          <w:color w:val="000000"/>
        </w:rPr>
      </w:pPr>
    </w:p>
    <w:p w14:paraId="286D7FD1">
      <w:pPr>
        <w:rPr>
          <w:rFonts w:hint="eastAsia" w:ascii="宋体" w:hAnsi="宋体" w:eastAsia="宋体" w:cs="宋体"/>
          <w:color w:val="000000"/>
        </w:rPr>
      </w:pPr>
    </w:p>
    <w:p w14:paraId="0A68EDF9">
      <w:pPr>
        <w:rPr>
          <w:rFonts w:hint="eastAsia" w:ascii="宋体" w:hAnsi="宋体" w:eastAsia="宋体" w:cs="宋体"/>
          <w:color w:val="000000"/>
        </w:rPr>
      </w:pPr>
    </w:p>
    <w:p w14:paraId="043BCF1D">
      <w:pPr>
        <w:pStyle w:val="3"/>
        <w:rPr>
          <w:rFonts w:hint="eastAsia" w:ascii="宋体" w:hAnsi="宋体" w:eastAsia="宋体" w:cs="宋体"/>
          <w:color w:val="000000"/>
          <w:sz w:val="24"/>
          <w:szCs w:val="24"/>
        </w:rPr>
      </w:pPr>
    </w:p>
    <w:p w14:paraId="088DF7A1">
      <w:pPr>
        <w:spacing w:line="500" w:lineRule="exact"/>
        <w:ind w:firstLine="4680" w:firstLineChars="1950"/>
        <w:rPr>
          <w:rFonts w:hint="eastAsia" w:ascii="宋体" w:hAnsi="宋体" w:eastAsia="宋体" w:cs="宋体"/>
          <w:color w:val="000000"/>
          <w:sz w:val="24"/>
          <w:szCs w:val="24"/>
        </w:rPr>
      </w:pPr>
      <w:r>
        <w:rPr>
          <w:rFonts w:hint="eastAsia" w:ascii="宋体" w:hAnsi="宋体" w:eastAsia="宋体" w:cs="宋体"/>
          <w:color w:val="000000"/>
          <w:sz w:val="24"/>
          <w:szCs w:val="24"/>
        </w:rPr>
        <w:t>供应商名称（公章）或自然人签署：</w:t>
      </w:r>
    </w:p>
    <w:p w14:paraId="555F7842">
      <w:pPr>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31D8B550">
      <w:pPr>
        <w:rPr>
          <w:rFonts w:hint="eastAsia" w:ascii="宋体" w:hAnsi="宋体" w:eastAsia="宋体" w:cs="宋体"/>
          <w:color w:val="000000"/>
        </w:rPr>
      </w:pPr>
    </w:p>
    <w:p w14:paraId="7F14D187">
      <w:pPr>
        <w:pStyle w:val="5"/>
        <w:outlineLvl w:val="0"/>
        <w:rPr>
          <w:rFonts w:hint="eastAsia" w:ascii="宋体" w:hAnsi="宋体" w:eastAsia="宋体" w:cs="宋体"/>
          <w:color w:val="000000"/>
        </w:rPr>
      </w:pPr>
      <w:r>
        <w:rPr>
          <w:rFonts w:hint="eastAsia" w:ascii="宋体" w:hAnsi="宋体" w:eastAsia="宋体" w:cs="宋体"/>
          <w:color w:val="000000"/>
        </w:rPr>
        <w:t>二、服务部分</w:t>
      </w:r>
      <w:bookmarkEnd w:id="167"/>
      <w:bookmarkEnd w:id="168"/>
      <w:bookmarkEnd w:id="169"/>
    </w:p>
    <w:p w14:paraId="2237B079">
      <w:pPr>
        <w:snapToGrid w:val="0"/>
        <w:spacing w:line="500" w:lineRule="exact"/>
        <w:ind w:firstLine="480" w:firstLineChars="0"/>
        <w:outlineLvl w:val="1"/>
        <w:rPr>
          <w:rFonts w:hint="eastAsia" w:ascii="宋体" w:hAnsi="宋体" w:eastAsia="宋体" w:cs="宋体"/>
          <w:color w:val="000000"/>
          <w:szCs w:val="28"/>
        </w:rPr>
      </w:pPr>
      <w:bookmarkStart w:id="170" w:name="_Toc17269"/>
      <w:r>
        <w:rPr>
          <w:rFonts w:hint="eastAsia" w:ascii="宋体" w:hAnsi="宋体" w:eastAsia="宋体" w:cs="宋体"/>
          <w:color w:val="000000"/>
          <w:szCs w:val="28"/>
        </w:rPr>
        <w:t>（一）按照“第三篇  项目服务需求”提供相应资料</w:t>
      </w:r>
      <w:bookmarkEnd w:id="170"/>
    </w:p>
    <w:p w14:paraId="18CE0E1D">
      <w:pPr>
        <w:snapToGrid w:val="0"/>
        <w:spacing w:line="500" w:lineRule="exact"/>
        <w:rPr>
          <w:rFonts w:hint="eastAsia" w:ascii="宋体" w:hAnsi="宋体" w:eastAsia="宋体" w:cs="宋体"/>
          <w:color w:val="000000"/>
          <w:sz w:val="36"/>
          <w:szCs w:val="36"/>
        </w:rPr>
      </w:pPr>
    </w:p>
    <w:p w14:paraId="5DD0EED3">
      <w:pPr>
        <w:snapToGrid w:val="0"/>
        <w:spacing w:line="500" w:lineRule="exact"/>
        <w:ind w:firstLine="480"/>
        <w:rPr>
          <w:rFonts w:hint="eastAsia" w:ascii="宋体" w:hAnsi="宋体" w:eastAsia="宋体" w:cs="宋体"/>
          <w:color w:val="000000"/>
          <w:sz w:val="36"/>
          <w:szCs w:val="36"/>
        </w:rPr>
      </w:pPr>
    </w:p>
    <w:p w14:paraId="61CA9D82">
      <w:pPr>
        <w:snapToGrid w:val="0"/>
        <w:spacing w:line="500" w:lineRule="exact"/>
        <w:ind w:firstLine="480"/>
        <w:rPr>
          <w:rFonts w:hint="eastAsia" w:ascii="宋体" w:hAnsi="宋体" w:eastAsia="宋体" w:cs="宋体"/>
          <w:color w:val="000000"/>
          <w:sz w:val="36"/>
          <w:szCs w:val="36"/>
        </w:rPr>
      </w:pPr>
    </w:p>
    <w:p w14:paraId="0CFC3918">
      <w:pPr>
        <w:snapToGrid w:val="0"/>
        <w:spacing w:line="500" w:lineRule="exact"/>
        <w:ind w:firstLine="480"/>
        <w:rPr>
          <w:rFonts w:hint="eastAsia" w:ascii="宋体" w:hAnsi="宋体" w:eastAsia="宋体" w:cs="宋体"/>
          <w:color w:val="000000"/>
          <w:sz w:val="36"/>
          <w:szCs w:val="36"/>
        </w:rPr>
      </w:pPr>
    </w:p>
    <w:p w14:paraId="0A487251">
      <w:pPr>
        <w:snapToGrid w:val="0"/>
        <w:spacing w:line="500" w:lineRule="exact"/>
        <w:ind w:firstLine="480"/>
        <w:rPr>
          <w:rFonts w:hint="eastAsia" w:ascii="宋体" w:hAnsi="宋体" w:eastAsia="宋体" w:cs="宋体"/>
          <w:color w:val="000000"/>
          <w:sz w:val="36"/>
          <w:szCs w:val="36"/>
        </w:rPr>
      </w:pPr>
    </w:p>
    <w:p w14:paraId="6663F146">
      <w:pPr>
        <w:snapToGrid w:val="0"/>
        <w:spacing w:line="500" w:lineRule="exact"/>
        <w:ind w:firstLine="480"/>
        <w:rPr>
          <w:rFonts w:hint="eastAsia" w:ascii="宋体" w:hAnsi="宋体" w:eastAsia="宋体" w:cs="宋体"/>
          <w:color w:val="000000"/>
          <w:sz w:val="36"/>
          <w:szCs w:val="36"/>
        </w:rPr>
      </w:pPr>
    </w:p>
    <w:p w14:paraId="362C2B7E">
      <w:pPr>
        <w:snapToGrid w:val="0"/>
        <w:spacing w:line="500" w:lineRule="exact"/>
        <w:ind w:firstLine="480"/>
        <w:rPr>
          <w:rFonts w:hint="eastAsia" w:ascii="宋体" w:hAnsi="宋体" w:eastAsia="宋体" w:cs="宋体"/>
          <w:color w:val="000000"/>
          <w:sz w:val="36"/>
          <w:szCs w:val="36"/>
        </w:rPr>
      </w:pPr>
    </w:p>
    <w:p w14:paraId="5F0C969F">
      <w:pPr>
        <w:snapToGrid w:val="0"/>
        <w:spacing w:line="500" w:lineRule="exact"/>
        <w:ind w:firstLine="480"/>
        <w:rPr>
          <w:rFonts w:hint="eastAsia" w:ascii="宋体" w:hAnsi="宋体" w:eastAsia="宋体" w:cs="宋体"/>
          <w:color w:val="000000"/>
          <w:sz w:val="36"/>
          <w:szCs w:val="36"/>
        </w:rPr>
      </w:pPr>
    </w:p>
    <w:p w14:paraId="02676EBB">
      <w:pPr>
        <w:snapToGrid w:val="0"/>
        <w:spacing w:line="500" w:lineRule="exact"/>
        <w:ind w:firstLine="480"/>
        <w:rPr>
          <w:rFonts w:hint="eastAsia" w:ascii="宋体" w:hAnsi="宋体" w:eastAsia="宋体" w:cs="宋体"/>
          <w:color w:val="000000"/>
          <w:sz w:val="36"/>
          <w:szCs w:val="36"/>
        </w:rPr>
      </w:pPr>
    </w:p>
    <w:p w14:paraId="52C4C187">
      <w:pPr>
        <w:snapToGrid w:val="0"/>
        <w:spacing w:line="500" w:lineRule="exact"/>
        <w:ind w:firstLine="480"/>
        <w:rPr>
          <w:rFonts w:hint="eastAsia" w:ascii="宋体" w:hAnsi="宋体" w:eastAsia="宋体" w:cs="宋体"/>
          <w:color w:val="000000"/>
          <w:sz w:val="36"/>
          <w:szCs w:val="36"/>
        </w:rPr>
      </w:pPr>
    </w:p>
    <w:p w14:paraId="5133E2D3">
      <w:pPr>
        <w:snapToGrid w:val="0"/>
        <w:spacing w:line="500" w:lineRule="exact"/>
        <w:ind w:firstLine="480"/>
        <w:rPr>
          <w:rFonts w:hint="eastAsia" w:ascii="宋体" w:hAnsi="宋体" w:eastAsia="宋体" w:cs="宋体"/>
          <w:color w:val="000000"/>
          <w:sz w:val="36"/>
          <w:szCs w:val="36"/>
        </w:rPr>
      </w:pPr>
    </w:p>
    <w:p w14:paraId="7239839A">
      <w:pPr>
        <w:snapToGrid w:val="0"/>
        <w:spacing w:line="500" w:lineRule="exact"/>
        <w:ind w:firstLine="480"/>
        <w:rPr>
          <w:rFonts w:hint="eastAsia" w:ascii="宋体" w:hAnsi="宋体" w:eastAsia="宋体" w:cs="宋体"/>
          <w:color w:val="000000"/>
          <w:sz w:val="36"/>
          <w:szCs w:val="36"/>
        </w:rPr>
      </w:pPr>
    </w:p>
    <w:p w14:paraId="6C71D6CE">
      <w:pPr>
        <w:snapToGrid w:val="0"/>
        <w:spacing w:line="500" w:lineRule="exact"/>
        <w:ind w:firstLine="480"/>
        <w:rPr>
          <w:rFonts w:hint="eastAsia" w:ascii="宋体" w:hAnsi="宋体" w:eastAsia="宋体" w:cs="宋体"/>
          <w:color w:val="000000"/>
          <w:sz w:val="36"/>
          <w:szCs w:val="36"/>
        </w:rPr>
      </w:pPr>
    </w:p>
    <w:p w14:paraId="32934751">
      <w:pPr>
        <w:snapToGrid w:val="0"/>
        <w:spacing w:line="500" w:lineRule="exact"/>
        <w:ind w:firstLine="480"/>
        <w:rPr>
          <w:rFonts w:hint="eastAsia" w:ascii="宋体" w:hAnsi="宋体" w:eastAsia="宋体" w:cs="宋体"/>
          <w:color w:val="000000"/>
          <w:sz w:val="36"/>
          <w:szCs w:val="36"/>
        </w:rPr>
      </w:pPr>
    </w:p>
    <w:p w14:paraId="7BA2A60F">
      <w:pPr>
        <w:snapToGrid w:val="0"/>
        <w:spacing w:line="500" w:lineRule="exact"/>
        <w:ind w:firstLine="480"/>
        <w:rPr>
          <w:rFonts w:hint="eastAsia" w:ascii="宋体" w:hAnsi="宋体" w:eastAsia="宋体" w:cs="宋体"/>
          <w:color w:val="000000"/>
          <w:sz w:val="36"/>
          <w:szCs w:val="36"/>
        </w:rPr>
      </w:pPr>
    </w:p>
    <w:p w14:paraId="409EAAE8">
      <w:pPr>
        <w:snapToGrid w:val="0"/>
        <w:spacing w:line="500" w:lineRule="exact"/>
        <w:ind w:firstLine="480"/>
        <w:rPr>
          <w:rFonts w:hint="eastAsia" w:ascii="宋体" w:hAnsi="宋体" w:eastAsia="宋体" w:cs="宋体"/>
          <w:color w:val="000000"/>
          <w:sz w:val="36"/>
          <w:szCs w:val="36"/>
        </w:rPr>
      </w:pPr>
    </w:p>
    <w:p w14:paraId="02A10DEB">
      <w:pPr>
        <w:snapToGrid w:val="0"/>
        <w:spacing w:line="500" w:lineRule="exact"/>
        <w:ind w:firstLine="480"/>
        <w:rPr>
          <w:rFonts w:hint="eastAsia" w:ascii="宋体" w:hAnsi="宋体" w:eastAsia="宋体" w:cs="宋体"/>
          <w:color w:val="000000"/>
          <w:sz w:val="36"/>
          <w:szCs w:val="36"/>
        </w:rPr>
      </w:pPr>
    </w:p>
    <w:p w14:paraId="53E7FCE7">
      <w:pPr>
        <w:snapToGrid w:val="0"/>
        <w:spacing w:line="500" w:lineRule="exact"/>
        <w:ind w:firstLine="480"/>
        <w:rPr>
          <w:rFonts w:hint="eastAsia" w:ascii="宋体" w:hAnsi="宋体" w:eastAsia="宋体" w:cs="宋体"/>
          <w:color w:val="000000"/>
          <w:sz w:val="36"/>
          <w:szCs w:val="36"/>
        </w:rPr>
      </w:pPr>
    </w:p>
    <w:p w14:paraId="768D2A99">
      <w:pPr>
        <w:snapToGrid w:val="0"/>
        <w:spacing w:line="500" w:lineRule="exact"/>
        <w:ind w:firstLine="480"/>
        <w:rPr>
          <w:rFonts w:hint="eastAsia" w:ascii="宋体" w:hAnsi="宋体" w:eastAsia="宋体" w:cs="宋体"/>
          <w:color w:val="000000"/>
          <w:sz w:val="36"/>
          <w:szCs w:val="36"/>
        </w:rPr>
      </w:pPr>
    </w:p>
    <w:p w14:paraId="010B642E">
      <w:pPr>
        <w:snapToGrid w:val="0"/>
        <w:spacing w:line="500" w:lineRule="exact"/>
        <w:ind w:firstLine="480"/>
        <w:rPr>
          <w:rFonts w:hint="eastAsia" w:ascii="宋体" w:hAnsi="宋体" w:eastAsia="宋体" w:cs="宋体"/>
          <w:color w:val="000000"/>
          <w:sz w:val="36"/>
          <w:szCs w:val="36"/>
        </w:rPr>
      </w:pPr>
    </w:p>
    <w:p w14:paraId="63A77030">
      <w:pPr>
        <w:snapToGrid w:val="0"/>
        <w:spacing w:line="500" w:lineRule="exact"/>
        <w:ind w:firstLine="480"/>
        <w:rPr>
          <w:rFonts w:hint="eastAsia" w:ascii="宋体" w:hAnsi="宋体" w:eastAsia="宋体" w:cs="宋体"/>
          <w:color w:val="000000"/>
          <w:sz w:val="36"/>
          <w:szCs w:val="36"/>
        </w:rPr>
      </w:pPr>
    </w:p>
    <w:p w14:paraId="3D0EB4B4">
      <w:pPr>
        <w:snapToGrid w:val="0"/>
        <w:spacing w:line="500" w:lineRule="exact"/>
        <w:rPr>
          <w:rFonts w:hint="eastAsia" w:ascii="宋体" w:hAnsi="宋体" w:eastAsia="宋体" w:cs="宋体"/>
          <w:color w:val="000000"/>
          <w:sz w:val="36"/>
          <w:szCs w:val="36"/>
        </w:rPr>
      </w:pPr>
    </w:p>
    <w:p w14:paraId="2378A74B">
      <w:pPr>
        <w:snapToGrid w:val="0"/>
        <w:spacing w:line="500" w:lineRule="exact"/>
        <w:rPr>
          <w:rFonts w:hint="eastAsia" w:ascii="宋体" w:hAnsi="宋体" w:eastAsia="宋体" w:cs="宋体"/>
          <w:color w:val="000000"/>
          <w:sz w:val="36"/>
          <w:szCs w:val="36"/>
        </w:rPr>
      </w:pPr>
    </w:p>
    <w:p w14:paraId="68A10391">
      <w:pPr>
        <w:snapToGrid w:val="0"/>
        <w:spacing w:line="500" w:lineRule="exact"/>
        <w:rPr>
          <w:rFonts w:hint="eastAsia" w:ascii="宋体" w:hAnsi="宋体" w:eastAsia="宋体" w:cs="宋体"/>
          <w:color w:val="000000"/>
          <w:sz w:val="36"/>
          <w:szCs w:val="36"/>
        </w:rPr>
      </w:pPr>
    </w:p>
    <w:p w14:paraId="44E3A953">
      <w:pPr>
        <w:snapToGrid w:val="0"/>
        <w:spacing w:line="500" w:lineRule="exact"/>
        <w:rPr>
          <w:rFonts w:hint="eastAsia" w:ascii="宋体" w:hAnsi="宋体" w:eastAsia="宋体" w:cs="宋体"/>
          <w:color w:val="000000"/>
          <w:sz w:val="36"/>
          <w:szCs w:val="36"/>
        </w:rPr>
      </w:pPr>
    </w:p>
    <w:p w14:paraId="0E06E979">
      <w:pPr>
        <w:snapToGrid w:val="0"/>
        <w:spacing w:line="500" w:lineRule="exact"/>
        <w:rPr>
          <w:rFonts w:hint="eastAsia" w:ascii="宋体" w:hAnsi="宋体" w:eastAsia="宋体" w:cs="宋体"/>
          <w:color w:val="000000"/>
          <w:sz w:val="36"/>
          <w:szCs w:val="36"/>
        </w:rPr>
      </w:pPr>
    </w:p>
    <w:p w14:paraId="3C2E4D51">
      <w:pPr>
        <w:snapToGrid w:val="0"/>
        <w:spacing w:line="500" w:lineRule="exact"/>
        <w:rPr>
          <w:rFonts w:hint="eastAsia" w:ascii="宋体" w:hAnsi="宋体" w:eastAsia="宋体" w:cs="宋体"/>
          <w:color w:val="000000"/>
          <w:sz w:val="36"/>
          <w:szCs w:val="36"/>
        </w:rPr>
      </w:pPr>
    </w:p>
    <w:p w14:paraId="07C9A78C">
      <w:pPr>
        <w:snapToGrid w:val="0"/>
        <w:spacing w:line="500" w:lineRule="exact"/>
        <w:outlineLvl w:val="1"/>
        <w:rPr>
          <w:rFonts w:hint="eastAsia" w:ascii="宋体" w:hAnsi="宋体" w:eastAsia="宋体" w:cs="宋体"/>
          <w:color w:val="000000"/>
          <w:sz w:val="24"/>
          <w:szCs w:val="24"/>
        </w:rPr>
      </w:pPr>
      <w:bookmarkStart w:id="171" w:name="_Toc27419"/>
      <w:r>
        <w:rPr>
          <w:rFonts w:hint="eastAsia" w:ascii="宋体" w:hAnsi="宋体" w:eastAsia="宋体" w:cs="宋体"/>
          <w:color w:val="000000"/>
          <w:sz w:val="36"/>
          <w:szCs w:val="36"/>
        </w:rPr>
        <w:t>（二）服务响应偏离表</w:t>
      </w:r>
      <w:bookmarkEnd w:id="171"/>
    </w:p>
    <w:p w14:paraId="7F9EBBC1">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3051"/>
        <w:gridCol w:w="2688"/>
        <w:gridCol w:w="1534"/>
      </w:tblGrid>
      <w:tr w14:paraId="0FCA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23" w:type="dxa"/>
            <w:noWrap w:val="0"/>
            <w:vAlign w:val="center"/>
          </w:tcPr>
          <w:p w14:paraId="54D899A3">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3051" w:type="dxa"/>
            <w:noWrap w:val="0"/>
            <w:vAlign w:val="center"/>
          </w:tcPr>
          <w:p w14:paraId="52F88897">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采购需求</w:t>
            </w:r>
          </w:p>
        </w:tc>
        <w:tc>
          <w:tcPr>
            <w:tcW w:w="2688" w:type="dxa"/>
            <w:noWrap w:val="0"/>
            <w:vAlign w:val="center"/>
          </w:tcPr>
          <w:p w14:paraId="446EBFBE">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响应</w:t>
            </w:r>
            <w:r>
              <w:rPr>
                <w:rFonts w:hint="eastAsia" w:ascii="宋体" w:hAnsi="宋体" w:eastAsia="宋体" w:cs="宋体"/>
                <w:color w:val="000000"/>
                <w:sz w:val="24"/>
                <w:szCs w:val="24"/>
                <w:lang w:eastAsia="zh-CN"/>
              </w:rPr>
              <w:t>应答</w:t>
            </w:r>
          </w:p>
        </w:tc>
        <w:tc>
          <w:tcPr>
            <w:tcW w:w="1534" w:type="dxa"/>
            <w:noWrap w:val="0"/>
            <w:vAlign w:val="center"/>
          </w:tcPr>
          <w:p w14:paraId="3DF0C7A7">
            <w:pPr>
              <w:keepNext w:val="0"/>
              <w:keepLines w:val="0"/>
              <w:suppressLineNumbers w:val="0"/>
              <w:snapToGrid w:val="0"/>
              <w:spacing w:before="0" w:beforeAutospacing="0" w:after="0" w:afterAutospacing="0" w:line="500" w:lineRule="exact"/>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差异说明</w:t>
            </w:r>
          </w:p>
        </w:tc>
      </w:tr>
      <w:tr w14:paraId="3BBF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3" w:type="dxa"/>
            <w:noWrap w:val="0"/>
            <w:vAlign w:val="center"/>
          </w:tcPr>
          <w:p w14:paraId="64C3F302">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051" w:type="dxa"/>
            <w:noWrap w:val="0"/>
            <w:vAlign w:val="center"/>
          </w:tcPr>
          <w:p w14:paraId="0A8048C5">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688" w:type="dxa"/>
            <w:noWrap w:val="0"/>
            <w:vAlign w:val="center"/>
          </w:tcPr>
          <w:p w14:paraId="378301D1">
            <w:pPr>
              <w:keepNext w:val="0"/>
              <w:keepLines w:val="0"/>
              <w:suppressLineNumbers w:val="0"/>
              <w:snapToGrid w:val="0"/>
              <w:spacing w:before="0" w:beforeAutospacing="0" w:after="0" w:afterAutospacing="0" w:line="500" w:lineRule="exact"/>
              <w:ind w:left="0" w:right="0" w:firstLine="28" w:firstLineChars="12"/>
              <w:rPr>
                <w:rFonts w:hint="eastAsia" w:ascii="宋体" w:hAnsi="宋体" w:eastAsia="宋体" w:cs="宋体"/>
                <w:color w:val="000000"/>
                <w:sz w:val="24"/>
                <w:szCs w:val="24"/>
              </w:rPr>
            </w:pPr>
          </w:p>
        </w:tc>
        <w:tc>
          <w:tcPr>
            <w:tcW w:w="1534" w:type="dxa"/>
            <w:noWrap w:val="0"/>
            <w:vAlign w:val="center"/>
          </w:tcPr>
          <w:p w14:paraId="7C18AB44">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21E6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3" w:type="dxa"/>
            <w:noWrap w:val="0"/>
            <w:vAlign w:val="center"/>
          </w:tcPr>
          <w:p w14:paraId="459C87F9">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051" w:type="dxa"/>
            <w:noWrap w:val="0"/>
            <w:vAlign w:val="center"/>
          </w:tcPr>
          <w:p w14:paraId="3640B908">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688" w:type="dxa"/>
            <w:noWrap w:val="0"/>
            <w:vAlign w:val="center"/>
          </w:tcPr>
          <w:p w14:paraId="2D25B772">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1534" w:type="dxa"/>
            <w:noWrap w:val="0"/>
            <w:vAlign w:val="center"/>
          </w:tcPr>
          <w:p w14:paraId="25C11694">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7C4E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3" w:type="dxa"/>
            <w:noWrap w:val="0"/>
            <w:vAlign w:val="center"/>
          </w:tcPr>
          <w:p w14:paraId="57421612">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051" w:type="dxa"/>
            <w:noWrap w:val="0"/>
            <w:vAlign w:val="center"/>
          </w:tcPr>
          <w:p w14:paraId="5F3D33C7">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688" w:type="dxa"/>
            <w:noWrap w:val="0"/>
            <w:vAlign w:val="center"/>
          </w:tcPr>
          <w:p w14:paraId="1A48B035">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1534" w:type="dxa"/>
            <w:noWrap w:val="0"/>
            <w:vAlign w:val="center"/>
          </w:tcPr>
          <w:p w14:paraId="682FA820">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5099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3" w:type="dxa"/>
            <w:noWrap w:val="0"/>
            <w:vAlign w:val="center"/>
          </w:tcPr>
          <w:p w14:paraId="521DAF58">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051" w:type="dxa"/>
            <w:noWrap w:val="0"/>
            <w:vAlign w:val="center"/>
          </w:tcPr>
          <w:p w14:paraId="741C5271">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688" w:type="dxa"/>
            <w:noWrap w:val="0"/>
            <w:vAlign w:val="center"/>
          </w:tcPr>
          <w:p w14:paraId="63BDF79F">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1534" w:type="dxa"/>
            <w:noWrap w:val="0"/>
            <w:vAlign w:val="center"/>
          </w:tcPr>
          <w:p w14:paraId="0B26F971">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335F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3" w:type="dxa"/>
            <w:noWrap w:val="0"/>
            <w:vAlign w:val="center"/>
          </w:tcPr>
          <w:p w14:paraId="31655EB3">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051" w:type="dxa"/>
            <w:noWrap w:val="0"/>
            <w:vAlign w:val="center"/>
          </w:tcPr>
          <w:p w14:paraId="5B1AB6F1">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688" w:type="dxa"/>
            <w:noWrap w:val="0"/>
            <w:vAlign w:val="center"/>
          </w:tcPr>
          <w:p w14:paraId="5A844418">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1534" w:type="dxa"/>
            <w:noWrap w:val="0"/>
            <w:vAlign w:val="center"/>
          </w:tcPr>
          <w:p w14:paraId="755762D4">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4FB0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3" w:type="dxa"/>
            <w:noWrap w:val="0"/>
            <w:vAlign w:val="center"/>
          </w:tcPr>
          <w:p w14:paraId="1AB65807">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051" w:type="dxa"/>
            <w:noWrap w:val="0"/>
            <w:vAlign w:val="center"/>
          </w:tcPr>
          <w:p w14:paraId="1E05B8C6">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688" w:type="dxa"/>
            <w:noWrap w:val="0"/>
            <w:vAlign w:val="center"/>
          </w:tcPr>
          <w:p w14:paraId="5466B432">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1534" w:type="dxa"/>
            <w:noWrap w:val="0"/>
            <w:vAlign w:val="center"/>
          </w:tcPr>
          <w:p w14:paraId="0239ACEE">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bl>
    <w:p w14:paraId="24DD3191">
      <w:pPr>
        <w:snapToGrid w:val="0"/>
        <w:spacing w:line="500" w:lineRule="exact"/>
        <w:ind w:firstLine="480"/>
        <w:rPr>
          <w:rFonts w:hint="eastAsia" w:ascii="宋体" w:hAnsi="宋体" w:eastAsia="宋体" w:cs="宋体"/>
          <w:color w:val="000000"/>
          <w:szCs w:val="28"/>
        </w:rPr>
      </w:pPr>
    </w:p>
    <w:p w14:paraId="61A3EA90">
      <w:pPr>
        <w:snapToGrid w:val="0"/>
        <w:spacing w:line="500" w:lineRule="exact"/>
        <w:ind w:firstLine="480"/>
        <w:rPr>
          <w:rFonts w:hint="eastAsia" w:ascii="宋体" w:hAnsi="宋体" w:eastAsia="宋体" w:cs="宋体"/>
          <w:color w:val="000000"/>
          <w:szCs w:val="28"/>
        </w:rPr>
      </w:pPr>
    </w:p>
    <w:p w14:paraId="1E054CB3">
      <w:pPr>
        <w:snapToGrid w:val="0"/>
        <w:spacing w:line="500" w:lineRule="exact"/>
        <w:ind w:firstLine="480"/>
        <w:rPr>
          <w:rFonts w:hint="eastAsia" w:ascii="宋体" w:hAnsi="宋体" w:eastAsia="宋体" w:cs="宋体"/>
          <w:color w:val="000000"/>
          <w:szCs w:val="28"/>
        </w:rPr>
      </w:pPr>
    </w:p>
    <w:p w14:paraId="3CFF6326">
      <w:pPr>
        <w:snapToGrid w:val="0"/>
        <w:spacing w:line="500" w:lineRule="exact"/>
        <w:ind w:firstLine="480"/>
        <w:rPr>
          <w:rFonts w:hint="eastAsia" w:ascii="宋体" w:hAnsi="宋体" w:eastAsia="宋体" w:cs="宋体"/>
          <w:color w:val="000000"/>
          <w:szCs w:val="28"/>
        </w:rPr>
      </w:pPr>
    </w:p>
    <w:p w14:paraId="42822796">
      <w:pPr>
        <w:snapToGrid w:val="0"/>
        <w:spacing w:line="500" w:lineRule="exact"/>
        <w:ind w:firstLine="480"/>
        <w:rPr>
          <w:rFonts w:hint="eastAsia" w:ascii="宋体" w:hAnsi="宋体" w:eastAsia="宋体" w:cs="宋体"/>
          <w:color w:val="000000"/>
          <w:szCs w:val="28"/>
        </w:rPr>
      </w:pPr>
      <w:r>
        <w:rPr>
          <w:rFonts w:hint="eastAsia" w:ascii="宋体" w:hAnsi="宋体" w:eastAsia="宋体" w:cs="宋体"/>
          <w:color w:val="000000"/>
          <w:szCs w:val="28"/>
        </w:rPr>
        <w:t xml:space="preserve">  </w:t>
      </w:r>
    </w:p>
    <w:p w14:paraId="2F110869">
      <w:pPr>
        <w:snapToGrid w:val="0"/>
        <w:spacing w:line="500" w:lineRule="exact"/>
        <w:ind w:firstLine="480"/>
        <w:rPr>
          <w:rFonts w:hint="eastAsia" w:ascii="宋体" w:hAnsi="宋体" w:eastAsia="宋体" w:cs="宋体"/>
          <w:color w:val="000000"/>
          <w:sz w:val="24"/>
          <w:szCs w:val="24"/>
        </w:rPr>
      </w:pPr>
      <w:bookmarkStart w:id="172" w:name="_Toc530494756"/>
      <w:bookmarkStart w:id="173" w:name="_Toc35440429"/>
      <w:bookmarkStart w:id="174" w:name="_Toc69397518"/>
      <w:r>
        <w:rPr>
          <w:rFonts w:hint="eastAsia" w:ascii="宋体" w:hAnsi="宋体" w:eastAsia="宋体" w:cs="宋体"/>
          <w:color w:val="000000"/>
          <w:sz w:val="24"/>
          <w:szCs w:val="24"/>
        </w:rPr>
        <w:t>供应商：                      法定代表人（或其授权代表）或自然人：</w:t>
      </w:r>
    </w:p>
    <w:p w14:paraId="4B64D6B8">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（供应商公章）                               （签署</w:t>
      </w:r>
      <w:r>
        <w:rPr>
          <w:rFonts w:hint="eastAsia" w:ascii="宋体" w:hAnsi="宋体" w:eastAsia="宋体" w:cs="宋体"/>
          <w:color w:val="000000"/>
          <w:sz w:val="24"/>
          <w:szCs w:val="28"/>
        </w:rPr>
        <w:t>或盖章</w:t>
      </w:r>
      <w:r>
        <w:rPr>
          <w:rFonts w:hint="eastAsia" w:ascii="宋体" w:hAnsi="宋体" w:eastAsia="宋体" w:cs="宋体"/>
          <w:color w:val="000000"/>
          <w:sz w:val="24"/>
          <w:szCs w:val="24"/>
        </w:rPr>
        <w:t>）</w:t>
      </w:r>
    </w:p>
    <w:p w14:paraId="79BD984C">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2038654E">
      <w:pPr>
        <w:snapToGrid w:val="0"/>
        <w:spacing w:line="500" w:lineRule="exact"/>
        <w:ind w:firstLine="480"/>
        <w:rPr>
          <w:rFonts w:hint="eastAsia" w:ascii="宋体" w:hAnsi="宋体" w:eastAsia="宋体" w:cs="宋体"/>
          <w:color w:val="000000"/>
          <w:sz w:val="24"/>
          <w:szCs w:val="24"/>
        </w:rPr>
      </w:pPr>
    </w:p>
    <w:p w14:paraId="6356731F">
      <w:pPr>
        <w:snapToGrid w:val="0"/>
        <w:spacing w:line="500" w:lineRule="exact"/>
        <w:ind w:firstLine="480"/>
        <w:rPr>
          <w:rFonts w:hint="eastAsia" w:ascii="宋体" w:hAnsi="宋体" w:eastAsia="宋体" w:cs="宋体"/>
          <w:color w:val="000000"/>
          <w:sz w:val="24"/>
          <w:szCs w:val="24"/>
        </w:rPr>
      </w:pPr>
    </w:p>
    <w:p w14:paraId="3DE62720">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4F754987">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1、本表即为对本项目“第</w:t>
      </w:r>
      <w:r>
        <w:rPr>
          <w:rFonts w:hint="eastAsia" w:ascii="宋体" w:hAnsi="宋体" w:eastAsia="宋体" w:cs="宋体"/>
          <w:color w:val="000000"/>
          <w:sz w:val="24"/>
          <w:szCs w:val="24"/>
          <w:lang w:eastAsia="zh-CN"/>
        </w:rPr>
        <w:t>三</w:t>
      </w:r>
      <w:r>
        <w:rPr>
          <w:rFonts w:hint="eastAsia" w:ascii="宋体" w:hAnsi="宋体" w:eastAsia="宋体" w:cs="宋体"/>
          <w:color w:val="000000"/>
          <w:sz w:val="24"/>
          <w:szCs w:val="24"/>
        </w:rPr>
        <w:t>篇  项目服务需求”中所列服务要求进行比较和响应；</w:t>
      </w:r>
    </w:p>
    <w:p w14:paraId="3E013829">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2、该表必须按照比选要求逐条如实填写，</w:t>
      </w:r>
      <w:r>
        <w:rPr>
          <w:rFonts w:hint="eastAsia" w:ascii="宋体" w:hAnsi="宋体" w:eastAsia="宋体" w:cs="宋体"/>
          <w:color w:val="000000"/>
          <w:sz w:val="24"/>
        </w:rPr>
        <w:t>根据响应情况在“差异说明”项填写正偏离或</w:t>
      </w:r>
      <w:r>
        <w:rPr>
          <w:rFonts w:hint="eastAsia" w:ascii="宋体" w:hAnsi="宋体" w:eastAsia="宋体" w:cs="宋体"/>
          <w:color w:val="000000"/>
          <w:sz w:val="24"/>
          <w:szCs w:val="24"/>
        </w:rPr>
        <w:t>负偏离及原因，完全符合的填写“无差异”；</w:t>
      </w:r>
    </w:p>
    <w:p w14:paraId="393F2956">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3、本表可扩展；</w:t>
      </w:r>
    </w:p>
    <w:p w14:paraId="03826BEC">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4. 附相关技术支撑材料（格式自定）。</w:t>
      </w:r>
    </w:p>
    <w:p w14:paraId="3016595A">
      <w:pPr>
        <w:snapToGrid w:val="0"/>
        <w:spacing w:line="500" w:lineRule="exact"/>
        <w:ind w:firstLine="480"/>
        <w:rPr>
          <w:rFonts w:hint="eastAsia" w:ascii="宋体" w:hAnsi="宋体" w:eastAsia="宋体" w:cs="宋体"/>
          <w:color w:val="000000"/>
        </w:rPr>
      </w:pPr>
      <w:r>
        <w:rPr>
          <w:rFonts w:hint="eastAsia" w:ascii="宋体" w:hAnsi="宋体" w:eastAsia="宋体" w:cs="宋体"/>
          <w:color w:val="000000"/>
          <w:sz w:val="24"/>
          <w:szCs w:val="24"/>
        </w:rPr>
        <w:t>5、若“响应情况”栏中仅填写“无偏离”或“有偏离”等内容而未作实质性参数描述，</w:t>
      </w:r>
      <w:r>
        <w:rPr>
          <w:rFonts w:hint="eastAsia" w:ascii="宋体" w:hAnsi="宋体" w:eastAsia="宋体" w:cs="宋体"/>
          <w:color w:val="000000"/>
          <w:sz w:val="24"/>
          <w:szCs w:val="24"/>
          <w:lang w:eastAsia="zh-CN"/>
        </w:rPr>
        <w:t>视为不满足，</w:t>
      </w:r>
      <w:r>
        <w:rPr>
          <w:rFonts w:hint="eastAsia" w:ascii="宋体" w:hAnsi="宋体" w:eastAsia="宋体" w:cs="宋体"/>
          <w:color w:val="000000"/>
          <w:sz w:val="24"/>
          <w:szCs w:val="24"/>
        </w:rPr>
        <w:t>该供应商将失去成为成交供应商的资格，仅保留其合格供应商的身份。</w:t>
      </w:r>
    </w:p>
    <w:p w14:paraId="67F47D7C">
      <w:pPr>
        <w:pStyle w:val="5"/>
        <w:ind w:firstLine="562" w:firstLineChars="200"/>
        <w:outlineLvl w:val="0"/>
        <w:rPr>
          <w:rFonts w:hint="eastAsia" w:ascii="宋体" w:hAnsi="宋体" w:eastAsia="宋体" w:cs="宋体"/>
          <w:color w:val="000000"/>
        </w:rPr>
      </w:pPr>
      <w:bookmarkStart w:id="175" w:name="_Toc14780"/>
      <w:bookmarkStart w:id="176" w:name="_Toc31740"/>
      <w:r>
        <w:rPr>
          <w:rFonts w:hint="eastAsia" w:ascii="宋体" w:hAnsi="宋体" w:eastAsia="宋体" w:cs="宋体"/>
          <w:color w:val="000000"/>
        </w:rPr>
        <w:t>三、商务部分</w:t>
      </w:r>
      <w:bookmarkEnd w:id="172"/>
      <w:bookmarkEnd w:id="173"/>
      <w:bookmarkEnd w:id="174"/>
      <w:bookmarkEnd w:id="175"/>
      <w:bookmarkEnd w:id="176"/>
    </w:p>
    <w:p w14:paraId="2A3E4FAE">
      <w:pPr>
        <w:rPr>
          <w:rFonts w:hint="eastAsia" w:ascii="宋体" w:hAnsi="宋体" w:eastAsia="宋体" w:cs="宋体"/>
          <w:color w:val="000000"/>
        </w:rPr>
      </w:pPr>
    </w:p>
    <w:p w14:paraId="7C68BDEC">
      <w:pPr>
        <w:numPr>
          <w:ilvl w:val="0"/>
          <w:numId w:val="24"/>
        </w:numPr>
        <w:spacing w:line="360" w:lineRule="auto"/>
        <w:ind w:left="885" w:leftChars="0" w:hanging="885" w:firstLineChars="0"/>
        <w:jc w:val="both"/>
        <w:outlineLvl w:val="1"/>
        <w:rPr>
          <w:rFonts w:hint="eastAsia" w:ascii="宋体" w:hAnsi="宋体" w:eastAsia="宋体" w:cs="宋体"/>
          <w:color w:val="000000"/>
          <w:szCs w:val="28"/>
        </w:rPr>
      </w:pPr>
      <w:bookmarkStart w:id="177" w:name="_Toc13711"/>
      <w:r>
        <w:rPr>
          <w:rFonts w:hint="eastAsia" w:ascii="宋体" w:hAnsi="宋体" w:eastAsia="宋体" w:cs="宋体"/>
          <w:color w:val="000000"/>
          <w:szCs w:val="28"/>
        </w:rPr>
        <w:t>按照“第四篇  项目商务需求”提供相应资料</w:t>
      </w:r>
      <w:bookmarkEnd w:id="177"/>
    </w:p>
    <w:p w14:paraId="5EFCBFFC">
      <w:pPr>
        <w:spacing w:line="360" w:lineRule="auto"/>
        <w:jc w:val="both"/>
        <w:rPr>
          <w:rFonts w:hint="eastAsia" w:ascii="宋体" w:hAnsi="宋体" w:eastAsia="宋体" w:cs="宋体"/>
          <w:color w:val="000000"/>
          <w:szCs w:val="28"/>
        </w:rPr>
      </w:pPr>
    </w:p>
    <w:p w14:paraId="3A6C4BAC">
      <w:pPr>
        <w:spacing w:line="360" w:lineRule="auto"/>
        <w:jc w:val="both"/>
        <w:rPr>
          <w:rFonts w:hint="eastAsia" w:ascii="宋体" w:hAnsi="宋体" w:eastAsia="宋体" w:cs="宋体"/>
          <w:color w:val="000000"/>
          <w:szCs w:val="28"/>
        </w:rPr>
      </w:pPr>
    </w:p>
    <w:p w14:paraId="715C51CB">
      <w:pPr>
        <w:spacing w:line="360" w:lineRule="auto"/>
        <w:jc w:val="both"/>
        <w:rPr>
          <w:rFonts w:hint="eastAsia" w:ascii="宋体" w:hAnsi="宋体" w:eastAsia="宋体" w:cs="宋体"/>
          <w:color w:val="000000"/>
          <w:szCs w:val="28"/>
        </w:rPr>
      </w:pPr>
    </w:p>
    <w:p w14:paraId="7C952BAF">
      <w:pPr>
        <w:spacing w:line="360" w:lineRule="auto"/>
        <w:jc w:val="both"/>
        <w:rPr>
          <w:rFonts w:hint="eastAsia" w:ascii="宋体" w:hAnsi="宋体" w:eastAsia="宋体" w:cs="宋体"/>
          <w:color w:val="000000"/>
          <w:szCs w:val="28"/>
        </w:rPr>
      </w:pPr>
    </w:p>
    <w:p w14:paraId="65F76A6D">
      <w:pPr>
        <w:spacing w:line="360" w:lineRule="auto"/>
        <w:jc w:val="both"/>
        <w:rPr>
          <w:rFonts w:hint="eastAsia" w:ascii="宋体" w:hAnsi="宋体" w:eastAsia="宋体" w:cs="宋体"/>
          <w:color w:val="000000"/>
          <w:szCs w:val="28"/>
        </w:rPr>
      </w:pPr>
    </w:p>
    <w:p w14:paraId="1BEB3B9C">
      <w:pPr>
        <w:spacing w:line="360" w:lineRule="auto"/>
        <w:jc w:val="both"/>
        <w:rPr>
          <w:rFonts w:hint="eastAsia" w:ascii="宋体" w:hAnsi="宋体" w:eastAsia="宋体" w:cs="宋体"/>
          <w:color w:val="000000"/>
          <w:szCs w:val="28"/>
        </w:rPr>
      </w:pPr>
    </w:p>
    <w:p w14:paraId="7C5738E3">
      <w:pPr>
        <w:spacing w:line="360" w:lineRule="auto"/>
        <w:jc w:val="both"/>
        <w:rPr>
          <w:rFonts w:hint="eastAsia" w:ascii="宋体" w:hAnsi="宋体" w:eastAsia="宋体" w:cs="宋体"/>
          <w:color w:val="000000"/>
          <w:szCs w:val="28"/>
        </w:rPr>
      </w:pPr>
    </w:p>
    <w:p w14:paraId="486CC651">
      <w:pPr>
        <w:spacing w:line="360" w:lineRule="auto"/>
        <w:jc w:val="both"/>
        <w:rPr>
          <w:rFonts w:hint="eastAsia" w:ascii="宋体" w:hAnsi="宋体" w:eastAsia="宋体" w:cs="宋体"/>
          <w:color w:val="000000"/>
          <w:szCs w:val="28"/>
        </w:rPr>
      </w:pPr>
    </w:p>
    <w:p w14:paraId="4DE24975">
      <w:pPr>
        <w:spacing w:line="360" w:lineRule="auto"/>
        <w:jc w:val="both"/>
        <w:rPr>
          <w:rFonts w:hint="eastAsia" w:ascii="宋体" w:hAnsi="宋体" w:eastAsia="宋体" w:cs="宋体"/>
          <w:color w:val="000000"/>
          <w:szCs w:val="28"/>
        </w:rPr>
      </w:pPr>
    </w:p>
    <w:p w14:paraId="427B20A2">
      <w:pPr>
        <w:spacing w:line="360" w:lineRule="auto"/>
        <w:jc w:val="both"/>
        <w:rPr>
          <w:rFonts w:hint="eastAsia" w:ascii="宋体" w:hAnsi="宋体" w:eastAsia="宋体" w:cs="宋体"/>
          <w:color w:val="000000"/>
          <w:szCs w:val="28"/>
        </w:rPr>
      </w:pPr>
    </w:p>
    <w:p w14:paraId="68E5018E">
      <w:pPr>
        <w:spacing w:line="360" w:lineRule="auto"/>
        <w:jc w:val="both"/>
        <w:rPr>
          <w:rFonts w:hint="eastAsia" w:ascii="宋体" w:hAnsi="宋体" w:eastAsia="宋体" w:cs="宋体"/>
          <w:color w:val="000000"/>
          <w:szCs w:val="28"/>
        </w:rPr>
      </w:pPr>
    </w:p>
    <w:p w14:paraId="60873895">
      <w:pPr>
        <w:spacing w:line="360" w:lineRule="auto"/>
        <w:jc w:val="both"/>
        <w:rPr>
          <w:rFonts w:hint="eastAsia" w:ascii="宋体" w:hAnsi="宋体" w:eastAsia="宋体" w:cs="宋体"/>
          <w:color w:val="000000"/>
          <w:szCs w:val="28"/>
        </w:rPr>
      </w:pPr>
    </w:p>
    <w:p w14:paraId="01CAA1D1">
      <w:pPr>
        <w:spacing w:line="360" w:lineRule="auto"/>
        <w:jc w:val="both"/>
        <w:rPr>
          <w:rFonts w:hint="eastAsia" w:ascii="宋体" w:hAnsi="宋体" w:eastAsia="宋体" w:cs="宋体"/>
          <w:color w:val="000000"/>
          <w:szCs w:val="28"/>
        </w:rPr>
      </w:pPr>
    </w:p>
    <w:p w14:paraId="0CABCB68">
      <w:pPr>
        <w:spacing w:line="360" w:lineRule="auto"/>
        <w:jc w:val="both"/>
        <w:rPr>
          <w:rFonts w:hint="eastAsia" w:ascii="宋体" w:hAnsi="宋体" w:eastAsia="宋体" w:cs="宋体"/>
          <w:color w:val="000000"/>
          <w:szCs w:val="28"/>
        </w:rPr>
      </w:pPr>
    </w:p>
    <w:p w14:paraId="156C5583">
      <w:pPr>
        <w:spacing w:line="360" w:lineRule="auto"/>
        <w:jc w:val="both"/>
        <w:rPr>
          <w:rFonts w:hint="eastAsia" w:ascii="宋体" w:hAnsi="宋体" w:eastAsia="宋体" w:cs="宋体"/>
          <w:color w:val="000000"/>
          <w:szCs w:val="28"/>
        </w:rPr>
      </w:pPr>
    </w:p>
    <w:p w14:paraId="5DACC65C">
      <w:pPr>
        <w:spacing w:line="360" w:lineRule="auto"/>
        <w:jc w:val="both"/>
        <w:rPr>
          <w:rFonts w:hint="eastAsia" w:ascii="宋体" w:hAnsi="宋体" w:eastAsia="宋体" w:cs="宋体"/>
          <w:color w:val="000000"/>
          <w:szCs w:val="28"/>
        </w:rPr>
      </w:pPr>
    </w:p>
    <w:p w14:paraId="6729C2E3">
      <w:pPr>
        <w:spacing w:line="360" w:lineRule="auto"/>
        <w:jc w:val="both"/>
        <w:rPr>
          <w:rFonts w:hint="eastAsia" w:ascii="宋体" w:hAnsi="宋体" w:eastAsia="宋体" w:cs="宋体"/>
          <w:color w:val="000000"/>
          <w:szCs w:val="28"/>
        </w:rPr>
      </w:pPr>
    </w:p>
    <w:p w14:paraId="16789E24">
      <w:pPr>
        <w:spacing w:line="360" w:lineRule="auto"/>
        <w:jc w:val="both"/>
        <w:rPr>
          <w:rFonts w:hint="eastAsia" w:ascii="宋体" w:hAnsi="宋体" w:eastAsia="宋体" w:cs="宋体"/>
          <w:color w:val="000000"/>
          <w:szCs w:val="28"/>
        </w:rPr>
      </w:pPr>
    </w:p>
    <w:p w14:paraId="14128073">
      <w:pPr>
        <w:spacing w:line="360" w:lineRule="auto"/>
        <w:jc w:val="both"/>
        <w:rPr>
          <w:rFonts w:hint="eastAsia" w:ascii="宋体" w:hAnsi="宋体" w:eastAsia="宋体" w:cs="宋体"/>
          <w:color w:val="000000"/>
          <w:szCs w:val="28"/>
        </w:rPr>
      </w:pPr>
    </w:p>
    <w:p w14:paraId="04CA3A39">
      <w:pPr>
        <w:spacing w:line="360" w:lineRule="auto"/>
        <w:jc w:val="both"/>
        <w:rPr>
          <w:rFonts w:hint="eastAsia" w:ascii="宋体" w:hAnsi="宋体" w:eastAsia="宋体" w:cs="宋体"/>
          <w:color w:val="000000"/>
          <w:szCs w:val="28"/>
        </w:rPr>
      </w:pPr>
    </w:p>
    <w:p w14:paraId="4E6F76CD">
      <w:pPr>
        <w:spacing w:line="360" w:lineRule="auto"/>
        <w:jc w:val="both"/>
        <w:rPr>
          <w:rFonts w:hint="eastAsia" w:ascii="宋体" w:hAnsi="宋体" w:eastAsia="宋体" w:cs="宋体"/>
          <w:color w:val="000000"/>
          <w:szCs w:val="28"/>
        </w:rPr>
      </w:pPr>
    </w:p>
    <w:p w14:paraId="39669BF9">
      <w:pPr>
        <w:spacing w:line="360" w:lineRule="auto"/>
        <w:jc w:val="both"/>
        <w:rPr>
          <w:rFonts w:hint="eastAsia" w:ascii="宋体" w:hAnsi="宋体" w:eastAsia="宋体" w:cs="宋体"/>
          <w:color w:val="000000"/>
          <w:szCs w:val="28"/>
        </w:rPr>
      </w:pPr>
    </w:p>
    <w:p w14:paraId="420FC456">
      <w:pPr>
        <w:numPr>
          <w:ilvl w:val="0"/>
          <w:numId w:val="24"/>
        </w:numPr>
        <w:spacing w:line="360" w:lineRule="auto"/>
        <w:jc w:val="both"/>
        <w:rPr>
          <w:rFonts w:hint="eastAsia" w:ascii="宋体" w:hAnsi="宋体" w:eastAsia="宋体" w:cs="宋体"/>
          <w:color w:val="000000"/>
          <w:szCs w:val="28"/>
        </w:rPr>
        <w:sectPr>
          <w:headerReference r:id="rId15" w:type="default"/>
          <w:pgSz w:w="11907" w:h="16840"/>
          <w:pgMar w:top="1134" w:right="1191" w:bottom="1134" w:left="1304" w:header="851" w:footer="992" w:gutter="0"/>
          <w:pgNumType w:fmt="numberInDash"/>
          <w:cols w:space="720" w:num="1"/>
          <w:docGrid w:linePitch="380" w:charSpace="-5735"/>
        </w:sectPr>
      </w:pPr>
      <w:bookmarkStart w:id="178" w:name="_Toc283382459"/>
    </w:p>
    <w:p w14:paraId="5723094A">
      <w:pPr>
        <w:numPr>
          <w:ilvl w:val="0"/>
          <w:numId w:val="24"/>
        </w:numPr>
        <w:spacing w:line="360" w:lineRule="auto"/>
        <w:ind w:left="885" w:leftChars="0" w:hanging="885" w:firstLineChars="0"/>
        <w:jc w:val="both"/>
        <w:outlineLvl w:val="1"/>
        <w:rPr>
          <w:rFonts w:hint="eastAsia" w:ascii="宋体" w:hAnsi="宋体" w:eastAsia="宋体" w:cs="宋体"/>
          <w:color w:val="000000"/>
          <w:szCs w:val="28"/>
        </w:rPr>
      </w:pPr>
      <w:bookmarkStart w:id="179" w:name="_Toc8610"/>
      <w:r>
        <w:rPr>
          <w:rFonts w:hint="eastAsia" w:ascii="宋体" w:hAnsi="宋体" w:eastAsia="宋体" w:cs="宋体"/>
          <w:color w:val="000000"/>
          <w:szCs w:val="28"/>
        </w:rPr>
        <w:t>商务响应偏离表</w:t>
      </w:r>
      <w:bookmarkEnd w:id="178"/>
      <w:bookmarkEnd w:id="179"/>
      <w:bookmarkStart w:id="180" w:name="_Toc25929284"/>
      <w:bookmarkStart w:id="181" w:name="_Toc69397519"/>
      <w:bookmarkStart w:id="182" w:name="_Toc530494757"/>
      <w:bookmarkStart w:id="183" w:name="_Toc35440430"/>
    </w:p>
    <w:p w14:paraId="2C92AB45">
      <w:pPr>
        <w:spacing w:line="360" w:lineRule="auto"/>
        <w:ind w:left="885"/>
        <w:jc w:val="center"/>
        <w:rPr>
          <w:rFonts w:hint="eastAsia" w:ascii="宋体" w:hAnsi="宋体" w:eastAsia="宋体" w:cs="宋体"/>
          <w:color w:val="000000"/>
          <w:szCs w:val="28"/>
        </w:rPr>
      </w:pPr>
      <w:r>
        <w:rPr>
          <w:rFonts w:hint="eastAsia" w:ascii="宋体" w:hAnsi="宋体" w:eastAsia="宋体" w:cs="宋体"/>
          <w:color w:val="000000"/>
          <w:szCs w:val="28"/>
        </w:rPr>
        <w:t>商务响应偏离表</w:t>
      </w:r>
    </w:p>
    <w:p w14:paraId="52DC19A1">
      <w:pPr>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p w14:paraId="79B2B707">
      <w:pPr>
        <w:snapToGrid w:val="0"/>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47C8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6BC0D9BC">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3179" w:type="dxa"/>
            <w:noWrap w:val="0"/>
            <w:vAlign w:val="center"/>
          </w:tcPr>
          <w:p w14:paraId="0671494B">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商务要求</w:t>
            </w:r>
          </w:p>
        </w:tc>
        <w:tc>
          <w:tcPr>
            <w:tcW w:w="2434" w:type="dxa"/>
            <w:noWrap w:val="0"/>
            <w:vAlign w:val="center"/>
          </w:tcPr>
          <w:p w14:paraId="5A443919">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rPr>
              <w:t>响应</w:t>
            </w:r>
            <w:r>
              <w:rPr>
                <w:rFonts w:hint="eastAsia" w:ascii="宋体" w:hAnsi="宋体" w:eastAsia="宋体" w:cs="宋体"/>
                <w:b/>
                <w:bCs/>
                <w:color w:val="000000"/>
                <w:sz w:val="24"/>
                <w:szCs w:val="24"/>
                <w:lang w:eastAsia="zh-CN"/>
              </w:rPr>
              <w:t>应答</w:t>
            </w:r>
          </w:p>
        </w:tc>
        <w:tc>
          <w:tcPr>
            <w:tcW w:w="2355" w:type="dxa"/>
            <w:noWrap w:val="0"/>
            <w:vAlign w:val="center"/>
          </w:tcPr>
          <w:p w14:paraId="3937388D">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差异说明</w:t>
            </w:r>
          </w:p>
        </w:tc>
      </w:tr>
      <w:tr w14:paraId="01DA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24F0305A">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179" w:type="dxa"/>
            <w:noWrap w:val="0"/>
            <w:vAlign w:val="center"/>
          </w:tcPr>
          <w:p w14:paraId="41423456">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434" w:type="dxa"/>
            <w:noWrap w:val="0"/>
            <w:vAlign w:val="center"/>
          </w:tcPr>
          <w:p w14:paraId="528B0F5B">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355" w:type="dxa"/>
            <w:noWrap w:val="0"/>
            <w:vAlign w:val="center"/>
          </w:tcPr>
          <w:p w14:paraId="6D582C6F">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6C29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35CE121D">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179" w:type="dxa"/>
            <w:noWrap w:val="0"/>
            <w:vAlign w:val="center"/>
          </w:tcPr>
          <w:p w14:paraId="44A9631A">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434" w:type="dxa"/>
            <w:noWrap w:val="0"/>
            <w:vAlign w:val="center"/>
          </w:tcPr>
          <w:p w14:paraId="2BAFC4FE">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355" w:type="dxa"/>
            <w:noWrap w:val="0"/>
            <w:vAlign w:val="center"/>
          </w:tcPr>
          <w:p w14:paraId="46CF82E3">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3C62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5B4D3599">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179" w:type="dxa"/>
            <w:noWrap w:val="0"/>
            <w:vAlign w:val="center"/>
          </w:tcPr>
          <w:p w14:paraId="2B9374FD">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434" w:type="dxa"/>
            <w:noWrap w:val="0"/>
            <w:vAlign w:val="center"/>
          </w:tcPr>
          <w:p w14:paraId="0175D31D">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355" w:type="dxa"/>
            <w:noWrap w:val="0"/>
            <w:vAlign w:val="center"/>
          </w:tcPr>
          <w:p w14:paraId="721B0F9B">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1760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51EDDB98">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179" w:type="dxa"/>
            <w:noWrap w:val="0"/>
            <w:vAlign w:val="center"/>
          </w:tcPr>
          <w:p w14:paraId="3876B878">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434" w:type="dxa"/>
            <w:noWrap w:val="0"/>
            <w:vAlign w:val="center"/>
          </w:tcPr>
          <w:p w14:paraId="1DA7BB55">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355" w:type="dxa"/>
            <w:noWrap w:val="0"/>
            <w:vAlign w:val="center"/>
          </w:tcPr>
          <w:p w14:paraId="54462F90">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68CB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719AE863">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179" w:type="dxa"/>
            <w:noWrap w:val="0"/>
            <w:vAlign w:val="center"/>
          </w:tcPr>
          <w:p w14:paraId="6A9512E7">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434" w:type="dxa"/>
            <w:noWrap w:val="0"/>
            <w:vAlign w:val="center"/>
          </w:tcPr>
          <w:p w14:paraId="0012B1A3">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355" w:type="dxa"/>
            <w:noWrap w:val="0"/>
            <w:vAlign w:val="center"/>
          </w:tcPr>
          <w:p w14:paraId="5D830264">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r w14:paraId="0DBD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510" w:type="dxa"/>
            <w:noWrap w:val="0"/>
            <w:vAlign w:val="center"/>
          </w:tcPr>
          <w:p w14:paraId="29E54F08">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3179" w:type="dxa"/>
            <w:noWrap w:val="0"/>
            <w:vAlign w:val="center"/>
          </w:tcPr>
          <w:p w14:paraId="37DD17DB">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434" w:type="dxa"/>
            <w:noWrap w:val="0"/>
            <w:vAlign w:val="center"/>
          </w:tcPr>
          <w:p w14:paraId="50537759">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c>
          <w:tcPr>
            <w:tcW w:w="2355" w:type="dxa"/>
            <w:noWrap w:val="0"/>
            <w:vAlign w:val="center"/>
          </w:tcPr>
          <w:p w14:paraId="22550C13">
            <w:pPr>
              <w:keepNext w:val="0"/>
              <w:keepLines w:val="0"/>
              <w:suppressLineNumbers w:val="0"/>
              <w:snapToGrid w:val="0"/>
              <w:spacing w:before="0" w:beforeAutospacing="0" w:after="0" w:afterAutospacing="0" w:line="500" w:lineRule="exact"/>
              <w:ind w:left="0" w:right="0" w:firstLine="480"/>
              <w:rPr>
                <w:rFonts w:hint="eastAsia" w:ascii="宋体" w:hAnsi="宋体" w:eastAsia="宋体" w:cs="宋体"/>
                <w:color w:val="000000"/>
                <w:sz w:val="24"/>
                <w:szCs w:val="24"/>
              </w:rPr>
            </w:pPr>
          </w:p>
        </w:tc>
      </w:tr>
    </w:tbl>
    <w:p w14:paraId="1AAD859B">
      <w:pPr>
        <w:snapToGrid w:val="0"/>
        <w:spacing w:line="500" w:lineRule="exact"/>
        <w:ind w:firstLine="480"/>
        <w:rPr>
          <w:rFonts w:hint="eastAsia" w:ascii="宋体" w:hAnsi="宋体" w:eastAsia="宋体" w:cs="宋体"/>
          <w:color w:val="000000"/>
          <w:sz w:val="24"/>
          <w:szCs w:val="24"/>
        </w:rPr>
      </w:pPr>
    </w:p>
    <w:p w14:paraId="56D99795">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供应商：                              法定代表人（或其授权代表）或自然人：</w:t>
      </w:r>
    </w:p>
    <w:p w14:paraId="573137B6">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（供应商公章）                                </w:t>
      </w:r>
      <w:r>
        <w:rPr>
          <w:rFonts w:hint="eastAsia" w:ascii="宋体" w:hAnsi="宋体" w:eastAsia="宋体" w:cs="宋体"/>
          <w:color w:val="000000"/>
          <w:sz w:val="24"/>
          <w:szCs w:val="28"/>
        </w:rPr>
        <w:t>（签署或盖章）</w:t>
      </w:r>
      <w:r>
        <w:rPr>
          <w:rFonts w:hint="eastAsia" w:ascii="宋体" w:hAnsi="宋体" w:eastAsia="宋体" w:cs="宋体"/>
          <w:color w:val="000000"/>
          <w:sz w:val="24"/>
          <w:szCs w:val="24"/>
        </w:rPr>
        <w:t xml:space="preserve">  </w:t>
      </w:r>
    </w:p>
    <w:p w14:paraId="3BE80E40">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79E11990">
      <w:pPr>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67AEF489">
      <w:pPr>
        <w:numPr>
          <w:ilvl w:val="0"/>
          <w:numId w:val="25"/>
        </w:numPr>
        <w:snapToGrid w:val="0"/>
        <w:spacing w:line="5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本表即为对本项目“第四篇 ”项目商务需求”中所列服务需求进行比较和响应；</w:t>
      </w:r>
    </w:p>
    <w:p w14:paraId="108F5824">
      <w:pPr>
        <w:snapToGrid w:val="0"/>
        <w:spacing w:line="500" w:lineRule="exact"/>
        <w:ind w:left="480"/>
        <w:rPr>
          <w:rFonts w:hint="eastAsia" w:ascii="宋体" w:hAnsi="宋体" w:eastAsia="宋体" w:cs="宋体"/>
          <w:color w:val="000000"/>
          <w:sz w:val="24"/>
          <w:szCs w:val="24"/>
        </w:rPr>
      </w:pPr>
      <w:r>
        <w:rPr>
          <w:rFonts w:hint="eastAsia" w:ascii="宋体" w:hAnsi="宋体" w:eastAsia="宋体" w:cs="宋体"/>
          <w:color w:val="000000"/>
          <w:sz w:val="24"/>
          <w:szCs w:val="24"/>
        </w:rPr>
        <w:t>2.该表必须按照比选要求逐条如实填写，根据响应情况在“差异说明”项填写正偏离或负偏离及原因，完全符合的填写“无差异”；</w:t>
      </w:r>
    </w:p>
    <w:p w14:paraId="2890593F">
      <w:pPr>
        <w:snapToGrid w:val="0"/>
        <w:spacing w:line="500" w:lineRule="exact"/>
        <w:ind w:left="480"/>
        <w:rPr>
          <w:rFonts w:hint="eastAsia" w:ascii="宋体" w:hAnsi="宋体" w:eastAsia="宋体" w:cs="宋体"/>
          <w:color w:val="000000"/>
          <w:sz w:val="24"/>
          <w:szCs w:val="24"/>
        </w:rPr>
      </w:pPr>
      <w:r>
        <w:rPr>
          <w:rFonts w:hint="eastAsia" w:ascii="宋体" w:hAnsi="宋体" w:eastAsia="宋体" w:cs="宋体"/>
          <w:color w:val="000000"/>
          <w:sz w:val="24"/>
          <w:szCs w:val="24"/>
        </w:rPr>
        <w:t>3.该表可扩展，并签字或盖章；</w:t>
      </w:r>
    </w:p>
    <w:p w14:paraId="4F2F809F">
      <w:pPr>
        <w:tabs>
          <w:tab w:val="left" w:pos="6300"/>
        </w:tabs>
        <w:snapToGrid w:val="0"/>
        <w:spacing w:line="360" w:lineRule="auto"/>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4. 若“响应情况”栏中仅填写“无偏离”或“有偏离”等内容而未作实质性参数描述，</w:t>
      </w:r>
      <w:r>
        <w:rPr>
          <w:rFonts w:hint="eastAsia" w:ascii="宋体" w:hAnsi="宋体" w:eastAsia="宋体" w:cs="宋体"/>
          <w:color w:val="000000"/>
          <w:sz w:val="24"/>
          <w:szCs w:val="28"/>
          <w:lang w:eastAsia="zh-CN"/>
        </w:rPr>
        <w:t>视为不满足，</w:t>
      </w:r>
      <w:r>
        <w:rPr>
          <w:rFonts w:hint="eastAsia" w:ascii="宋体" w:hAnsi="宋体" w:eastAsia="宋体" w:cs="宋体"/>
          <w:color w:val="000000"/>
          <w:sz w:val="24"/>
          <w:szCs w:val="28"/>
        </w:rPr>
        <w:t>该供应商将失去成为成交供应商的资格，仅保留其合格供应商的身份。</w:t>
      </w:r>
    </w:p>
    <w:p w14:paraId="3961A010">
      <w:pPr>
        <w:snapToGrid w:val="0"/>
        <w:spacing w:line="500" w:lineRule="exact"/>
        <w:ind w:firstLine="480" w:firstLineChars="0"/>
        <w:outlineLvl w:val="1"/>
        <w:rPr>
          <w:rFonts w:hint="eastAsia" w:ascii="宋体" w:hAnsi="宋体" w:eastAsia="宋体" w:cs="宋体"/>
          <w:color w:val="000000"/>
        </w:rPr>
      </w:pPr>
      <w:r>
        <w:rPr>
          <w:rFonts w:hint="eastAsia" w:ascii="宋体" w:hAnsi="宋体" w:eastAsia="宋体" w:cs="宋体"/>
          <w:color w:val="000000"/>
        </w:rPr>
        <w:br w:type="page"/>
      </w:r>
      <w:bookmarkStart w:id="184" w:name="_Toc15022"/>
      <w:r>
        <w:rPr>
          <w:rFonts w:hint="eastAsia" w:ascii="宋体" w:hAnsi="宋体" w:eastAsia="宋体" w:cs="宋体"/>
          <w:color w:val="000000"/>
          <w:sz w:val="24"/>
          <w:szCs w:val="24"/>
        </w:rPr>
        <w:t>（三）其它优惠承诺（格式自定）</w:t>
      </w:r>
      <w:bookmarkEnd w:id="184"/>
    </w:p>
    <w:p w14:paraId="2BF44D4C">
      <w:pPr>
        <w:snapToGrid w:val="0"/>
        <w:spacing w:line="500" w:lineRule="exact"/>
        <w:ind w:firstLine="480"/>
        <w:rPr>
          <w:rFonts w:hint="eastAsia" w:ascii="宋体" w:hAnsi="宋体" w:eastAsia="宋体" w:cs="宋体"/>
          <w:color w:val="000000"/>
        </w:rPr>
      </w:pPr>
    </w:p>
    <w:p w14:paraId="70A59C94">
      <w:pPr>
        <w:snapToGrid w:val="0"/>
        <w:spacing w:line="500" w:lineRule="exact"/>
        <w:ind w:firstLine="480"/>
        <w:rPr>
          <w:rFonts w:hint="eastAsia" w:ascii="宋体" w:hAnsi="宋体" w:eastAsia="宋体" w:cs="宋体"/>
          <w:color w:val="000000"/>
        </w:rPr>
      </w:pPr>
    </w:p>
    <w:p w14:paraId="6B279D95">
      <w:pPr>
        <w:snapToGrid w:val="0"/>
        <w:spacing w:line="500" w:lineRule="exact"/>
        <w:ind w:firstLine="480"/>
        <w:rPr>
          <w:rFonts w:hint="eastAsia" w:ascii="宋体" w:hAnsi="宋体" w:eastAsia="宋体" w:cs="宋体"/>
          <w:color w:val="000000"/>
        </w:rPr>
      </w:pPr>
    </w:p>
    <w:p w14:paraId="534BA436">
      <w:pPr>
        <w:snapToGrid w:val="0"/>
        <w:spacing w:line="500" w:lineRule="exact"/>
        <w:ind w:firstLine="480"/>
        <w:rPr>
          <w:rFonts w:hint="eastAsia" w:ascii="宋体" w:hAnsi="宋体" w:eastAsia="宋体" w:cs="宋体"/>
          <w:color w:val="000000"/>
        </w:rPr>
      </w:pPr>
    </w:p>
    <w:p w14:paraId="103CD24E">
      <w:pPr>
        <w:snapToGrid w:val="0"/>
        <w:spacing w:line="500" w:lineRule="exact"/>
        <w:ind w:firstLine="480"/>
        <w:rPr>
          <w:rFonts w:hint="eastAsia" w:ascii="宋体" w:hAnsi="宋体" w:eastAsia="宋体" w:cs="宋体"/>
          <w:color w:val="000000"/>
        </w:rPr>
      </w:pPr>
    </w:p>
    <w:p w14:paraId="39941056">
      <w:pPr>
        <w:snapToGrid w:val="0"/>
        <w:spacing w:line="500" w:lineRule="exact"/>
        <w:ind w:firstLine="480"/>
        <w:rPr>
          <w:rFonts w:hint="eastAsia" w:ascii="宋体" w:hAnsi="宋体" w:eastAsia="宋体" w:cs="宋体"/>
          <w:color w:val="000000"/>
        </w:rPr>
      </w:pPr>
    </w:p>
    <w:p w14:paraId="5B7DBD38">
      <w:pPr>
        <w:snapToGrid w:val="0"/>
        <w:spacing w:line="500" w:lineRule="exact"/>
        <w:ind w:firstLine="480"/>
        <w:rPr>
          <w:rFonts w:hint="eastAsia" w:ascii="宋体" w:hAnsi="宋体" w:eastAsia="宋体" w:cs="宋体"/>
          <w:color w:val="000000"/>
        </w:rPr>
      </w:pPr>
    </w:p>
    <w:p w14:paraId="3660ED67">
      <w:pPr>
        <w:snapToGrid w:val="0"/>
        <w:spacing w:line="500" w:lineRule="exact"/>
        <w:ind w:firstLine="480"/>
        <w:rPr>
          <w:rFonts w:hint="eastAsia" w:ascii="宋体" w:hAnsi="宋体" w:eastAsia="宋体" w:cs="宋体"/>
          <w:color w:val="000000"/>
        </w:rPr>
      </w:pPr>
    </w:p>
    <w:p w14:paraId="2A1B2452">
      <w:pPr>
        <w:snapToGrid w:val="0"/>
        <w:spacing w:line="500" w:lineRule="exact"/>
        <w:ind w:firstLine="480"/>
        <w:rPr>
          <w:rFonts w:hint="eastAsia" w:ascii="宋体" w:hAnsi="宋体" w:eastAsia="宋体" w:cs="宋体"/>
          <w:color w:val="000000"/>
        </w:rPr>
      </w:pPr>
    </w:p>
    <w:p w14:paraId="67BD9398">
      <w:pPr>
        <w:snapToGrid w:val="0"/>
        <w:spacing w:line="500" w:lineRule="exact"/>
        <w:ind w:firstLine="480"/>
        <w:rPr>
          <w:rFonts w:hint="eastAsia" w:ascii="宋体" w:hAnsi="宋体" w:eastAsia="宋体" w:cs="宋体"/>
          <w:color w:val="000000"/>
        </w:rPr>
      </w:pPr>
    </w:p>
    <w:p w14:paraId="4A3E0AB6">
      <w:pPr>
        <w:snapToGrid w:val="0"/>
        <w:spacing w:line="500" w:lineRule="exact"/>
        <w:ind w:firstLine="480"/>
        <w:rPr>
          <w:rFonts w:hint="eastAsia" w:ascii="宋体" w:hAnsi="宋体" w:eastAsia="宋体" w:cs="宋体"/>
          <w:color w:val="000000"/>
        </w:rPr>
      </w:pPr>
    </w:p>
    <w:p w14:paraId="15212F0A">
      <w:pPr>
        <w:snapToGrid w:val="0"/>
        <w:spacing w:line="500" w:lineRule="exact"/>
        <w:ind w:firstLine="480"/>
        <w:rPr>
          <w:rFonts w:hint="eastAsia" w:ascii="宋体" w:hAnsi="宋体" w:eastAsia="宋体" w:cs="宋体"/>
          <w:color w:val="000000"/>
        </w:rPr>
      </w:pPr>
    </w:p>
    <w:p w14:paraId="0683B0A9">
      <w:pPr>
        <w:snapToGrid w:val="0"/>
        <w:spacing w:line="500" w:lineRule="exact"/>
        <w:ind w:firstLine="480"/>
        <w:rPr>
          <w:rFonts w:hint="eastAsia" w:ascii="宋体" w:hAnsi="宋体" w:eastAsia="宋体" w:cs="宋体"/>
          <w:color w:val="000000"/>
        </w:rPr>
      </w:pPr>
    </w:p>
    <w:p w14:paraId="7E05FAC2">
      <w:pPr>
        <w:snapToGrid w:val="0"/>
        <w:spacing w:line="500" w:lineRule="exact"/>
        <w:ind w:firstLine="480"/>
        <w:rPr>
          <w:rFonts w:hint="eastAsia" w:ascii="宋体" w:hAnsi="宋体" w:eastAsia="宋体" w:cs="宋体"/>
          <w:color w:val="000000"/>
        </w:rPr>
      </w:pPr>
    </w:p>
    <w:p w14:paraId="387B9F1F">
      <w:pPr>
        <w:snapToGrid w:val="0"/>
        <w:spacing w:line="500" w:lineRule="exact"/>
        <w:ind w:firstLine="480"/>
        <w:rPr>
          <w:rFonts w:hint="eastAsia" w:ascii="宋体" w:hAnsi="宋体" w:eastAsia="宋体" w:cs="宋体"/>
          <w:color w:val="000000"/>
        </w:rPr>
      </w:pPr>
    </w:p>
    <w:p w14:paraId="68AAE9E8">
      <w:pPr>
        <w:snapToGrid w:val="0"/>
        <w:spacing w:line="500" w:lineRule="exact"/>
        <w:ind w:firstLine="480"/>
        <w:rPr>
          <w:rFonts w:hint="eastAsia" w:ascii="宋体" w:hAnsi="宋体" w:eastAsia="宋体" w:cs="宋体"/>
          <w:color w:val="000000"/>
        </w:rPr>
      </w:pPr>
    </w:p>
    <w:p w14:paraId="3764410B">
      <w:pPr>
        <w:snapToGrid w:val="0"/>
        <w:spacing w:line="500" w:lineRule="exact"/>
        <w:ind w:firstLine="480"/>
        <w:rPr>
          <w:rFonts w:hint="eastAsia" w:ascii="宋体" w:hAnsi="宋体" w:eastAsia="宋体" w:cs="宋体"/>
          <w:color w:val="000000"/>
        </w:rPr>
      </w:pPr>
    </w:p>
    <w:p w14:paraId="730196E5">
      <w:pPr>
        <w:snapToGrid w:val="0"/>
        <w:spacing w:line="500" w:lineRule="exact"/>
        <w:ind w:firstLine="480"/>
        <w:rPr>
          <w:rFonts w:hint="eastAsia" w:ascii="宋体" w:hAnsi="宋体" w:eastAsia="宋体" w:cs="宋体"/>
          <w:color w:val="000000"/>
        </w:rPr>
      </w:pPr>
    </w:p>
    <w:p w14:paraId="35CEBDEA">
      <w:pPr>
        <w:snapToGrid w:val="0"/>
        <w:spacing w:line="500" w:lineRule="exact"/>
        <w:ind w:firstLine="480"/>
        <w:rPr>
          <w:rFonts w:hint="eastAsia" w:ascii="宋体" w:hAnsi="宋体" w:eastAsia="宋体" w:cs="宋体"/>
          <w:color w:val="000000"/>
        </w:rPr>
      </w:pPr>
    </w:p>
    <w:p w14:paraId="7678302C">
      <w:pPr>
        <w:snapToGrid w:val="0"/>
        <w:spacing w:line="500" w:lineRule="exact"/>
        <w:ind w:firstLine="480"/>
        <w:rPr>
          <w:rFonts w:hint="eastAsia" w:ascii="宋体" w:hAnsi="宋体" w:eastAsia="宋体" w:cs="宋体"/>
          <w:color w:val="000000"/>
        </w:rPr>
      </w:pPr>
    </w:p>
    <w:p w14:paraId="69FF5BBB">
      <w:pPr>
        <w:snapToGrid w:val="0"/>
        <w:spacing w:line="500" w:lineRule="exact"/>
        <w:ind w:firstLine="480"/>
        <w:rPr>
          <w:rFonts w:hint="eastAsia" w:ascii="宋体" w:hAnsi="宋体" w:eastAsia="宋体" w:cs="宋体"/>
          <w:color w:val="000000"/>
        </w:rPr>
      </w:pPr>
    </w:p>
    <w:p w14:paraId="7E966526">
      <w:pPr>
        <w:snapToGrid w:val="0"/>
        <w:spacing w:line="500" w:lineRule="exact"/>
        <w:ind w:firstLine="480"/>
        <w:rPr>
          <w:rFonts w:hint="eastAsia" w:ascii="宋体" w:hAnsi="宋体" w:eastAsia="宋体" w:cs="宋体"/>
          <w:color w:val="000000"/>
        </w:rPr>
      </w:pPr>
    </w:p>
    <w:p w14:paraId="4C20081D">
      <w:pPr>
        <w:snapToGrid w:val="0"/>
        <w:spacing w:line="500" w:lineRule="exact"/>
        <w:ind w:firstLine="480"/>
        <w:rPr>
          <w:rFonts w:hint="eastAsia" w:ascii="宋体" w:hAnsi="宋体" w:eastAsia="宋体" w:cs="宋体"/>
          <w:color w:val="000000"/>
        </w:rPr>
      </w:pPr>
    </w:p>
    <w:p w14:paraId="50DE7055">
      <w:pPr>
        <w:snapToGrid w:val="0"/>
        <w:spacing w:line="500" w:lineRule="exact"/>
        <w:ind w:firstLine="480"/>
        <w:rPr>
          <w:rFonts w:hint="eastAsia" w:ascii="宋体" w:hAnsi="宋体" w:eastAsia="宋体" w:cs="宋体"/>
          <w:color w:val="000000"/>
        </w:rPr>
      </w:pPr>
    </w:p>
    <w:p w14:paraId="1E230818">
      <w:pPr>
        <w:snapToGrid w:val="0"/>
        <w:spacing w:line="500" w:lineRule="exact"/>
        <w:ind w:firstLine="480"/>
        <w:rPr>
          <w:rFonts w:hint="eastAsia" w:ascii="宋体" w:hAnsi="宋体" w:eastAsia="宋体" w:cs="宋体"/>
          <w:color w:val="000000"/>
        </w:rPr>
      </w:pPr>
    </w:p>
    <w:p w14:paraId="1A895ADF">
      <w:pPr>
        <w:snapToGrid w:val="0"/>
        <w:spacing w:line="500" w:lineRule="exact"/>
        <w:ind w:firstLine="480"/>
        <w:rPr>
          <w:rFonts w:hint="eastAsia" w:ascii="宋体" w:hAnsi="宋体" w:eastAsia="宋体" w:cs="宋体"/>
          <w:color w:val="000000"/>
        </w:rPr>
      </w:pPr>
    </w:p>
    <w:p w14:paraId="2C5AF60D">
      <w:pPr>
        <w:snapToGrid w:val="0"/>
        <w:spacing w:line="500" w:lineRule="exact"/>
        <w:ind w:firstLine="480"/>
        <w:rPr>
          <w:rFonts w:hint="eastAsia" w:ascii="宋体" w:hAnsi="宋体" w:eastAsia="宋体" w:cs="宋体"/>
          <w:color w:val="000000"/>
        </w:rPr>
      </w:pPr>
    </w:p>
    <w:p w14:paraId="053B0357">
      <w:pPr>
        <w:snapToGrid w:val="0"/>
        <w:spacing w:line="500" w:lineRule="exact"/>
        <w:ind w:firstLine="762" w:firstLineChars="271"/>
        <w:outlineLvl w:val="0"/>
        <w:rPr>
          <w:rFonts w:hint="eastAsia" w:ascii="宋体" w:hAnsi="宋体" w:eastAsia="宋体" w:cs="宋体"/>
          <w:color w:val="000000"/>
          <w:szCs w:val="28"/>
        </w:rPr>
      </w:pPr>
      <w:bookmarkStart w:id="185" w:name="_Toc9195"/>
      <w:r>
        <w:rPr>
          <w:rFonts w:hint="eastAsia" w:ascii="宋体" w:hAnsi="宋体" w:eastAsia="宋体" w:cs="宋体"/>
          <w:b/>
          <w:color w:val="000000"/>
        </w:rPr>
        <w:t>四、资格条件及其他</w:t>
      </w:r>
      <w:bookmarkEnd w:id="180"/>
      <w:bookmarkEnd w:id="181"/>
      <w:bookmarkEnd w:id="182"/>
      <w:bookmarkEnd w:id="183"/>
      <w:bookmarkEnd w:id="185"/>
    </w:p>
    <w:p w14:paraId="04FDD651">
      <w:pPr>
        <w:spacing w:line="400" w:lineRule="exact"/>
        <w:ind w:firstLine="480" w:firstLineChars="200"/>
        <w:rPr>
          <w:rFonts w:hint="eastAsia" w:ascii="宋体" w:hAnsi="宋体" w:eastAsia="宋体" w:cs="宋体"/>
          <w:color w:val="000000"/>
          <w:szCs w:val="28"/>
        </w:rPr>
      </w:pPr>
      <w:r>
        <w:rPr>
          <w:rFonts w:hint="eastAsia" w:ascii="宋体" w:hAnsi="宋体" w:eastAsia="宋体" w:cs="宋体"/>
          <w:color w:val="000000"/>
          <w:sz w:val="24"/>
          <w:szCs w:val="24"/>
        </w:rPr>
        <w:t>（一）法人营业执照（副本）或事业单位法人证书（副本）或个体工商户营业执照或有效的自然人身份证明或社会团体法人登记证书复印件</w:t>
      </w:r>
    </w:p>
    <w:p w14:paraId="21549C10">
      <w:pPr>
        <w:snapToGrid w:val="0"/>
        <w:spacing w:line="560" w:lineRule="exact"/>
        <w:ind w:firstLine="560" w:firstLineChars="200"/>
        <w:rPr>
          <w:rFonts w:hint="eastAsia" w:ascii="宋体" w:hAnsi="宋体" w:eastAsia="宋体" w:cs="宋体"/>
          <w:color w:val="000000"/>
          <w:szCs w:val="28"/>
        </w:rPr>
      </w:pPr>
    </w:p>
    <w:p w14:paraId="63DE39AF">
      <w:pPr>
        <w:tabs>
          <w:tab w:val="left" w:pos="6300"/>
        </w:tabs>
        <w:snapToGrid w:val="0"/>
        <w:spacing w:line="360" w:lineRule="auto"/>
        <w:ind w:firstLine="570"/>
        <w:jc w:val="both"/>
        <w:rPr>
          <w:rFonts w:hint="eastAsia" w:ascii="宋体" w:hAnsi="宋体" w:eastAsia="宋体" w:cs="宋体"/>
          <w:color w:val="000000"/>
          <w:szCs w:val="28"/>
        </w:rPr>
      </w:pPr>
      <w:r>
        <w:rPr>
          <w:rFonts w:hint="eastAsia" w:ascii="宋体" w:hAnsi="宋体" w:eastAsia="宋体" w:cs="宋体"/>
          <w:color w:val="000000"/>
          <w:szCs w:val="28"/>
        </w:rPr>
        <w:t>（二）组织机构代码证复印件</w:t>
      </w:r>
    </w:p>
    <w:p w14:paraId="36749898">
      <w:pPr>
        <w:snapToGrid w:val="0"/>
        <w:spacing w:line="560" w:lineRule="exact"/>
        <w:ind w:firstLine="560" w:firstLineChars="200"/>
        <w:rPr>
          <w:rFonts w:hint="eastAsia" w:ascii="宋体" w:hAnsi="宋体" w:eastAsia="宋体" w:cs="宋体"/>
          <w:color w:val="000000"/>
          <w:szCs w:val="28"/>
        </w:rPr>
      </w:pPr>
    </w:p>
    <w:p w14:paraId="6A5C063C">
      <w:pPr>
        <w:snapToGrid w:val="0"/>
        <w:spacing w:line="560" w:lineRule="exact"/>
        <w:ind w:firstLine="560" w:firstLineChars="200"/>
        <w:rPr>
          <w:rFonts w:hint="eastAsia" w:ascii="宋体" w:hAnsi="宋体" w:eastAsia="宋体" w:cs="宋体"/>
          <w:color w:val="000000"/>
          <w:szCs w:val="28"/>
        </w:rPr>
      </w:pPr>
    </w:p>
    <w:p w14:paraId="06633FB9">
      <w:pPr>
        <w:snapToGrid w:val="0"/>
        <w:spacing w:line="560" w:lineRule="exact"/>
        <w:ind w:firstLine="560" w:firstLineChars="200"/>
        <w:rPr>
          <w:rFonts w:hint="eastAsia" w:ascii="宋体" w:hAnsi="宋体" w:eastAsia="宋体" w:cs="宋体"/>
          <w:color w:val="000000"/>
          <w:szCs w:val="28"/>
        </w:rPr>
      </w:pPr>
    </w:p>
    <w:p w14:paraId="63720ABA">
      <w:pPr>
        <w:snapToGrid w:val="0"/>
        <w:spacing w:line="560" w:lineRule="exact"/>
        <w:ind w:firstLine="560" w:firstLineChars="200"/>
        <w:rPr>
          <w:rFonts w:hint="eastAsia" w:ascii="宋体" w:hAnsi="宋体" w:eastAsia="宋体" w:cs="宋体"/>
          <w:color w:val="000000"/>
          <w:szCs w:val="28"/>
        </w:rPr>
      </w:pPr>
    </w:p>
    <w:p w14:paraId="2D257261">
      <w:pPr>
        <w:snapToGrid w:val="0"/>
        <w:spacing w:line="560" w:lineRule="exact"/>
        <w:ind w:firstLine="560" w:firstLineChars="200"/>
        <w:rPr>
          <w:rFonts w:hint="eastAsia" w:ascii="宋体" w:hAnsi="宋体" w:eastAsia="宋体" w:cs="宋体"/>
          <w:color w:val="000000"/>
          <w:szCs w:val="28"/>
        </w:rPr>
      </w:pPr>
    </w:p>
    <w:p w14:paraId="68895777">
      <w:pPr>
        <w:snapToGrid w:val="0"/>
        <w:spacing w:line="560" w:lineRule="exact"/>
        <w:ind w:firstLine="560" w:firstLineChars="200"/>
        <w:rPr>
          <w:rFonts w:hint="eastAsia" w:ascii="宋体" w:hAnsi="宋体" w:eastAsia="宋体" w:cs="宋体"/>
          <w:color w:val="000000"/>
          <w:szCs w:val="28"/>
        </w:rPr>
      </w:pPr>
    </w:p>
    <w:p w14:paraId="3AD66AE9">
      <w:pPr>
        <w:snapToGrid w:val="0"/>
        <w:spacing w:line="560" w:lineRule="exact"/>
        <w:ind w:firstLine="560" w:firstLineChars="200"/>
        <w:rPr>
          <w:rFonts w:hint="eastAsia" w:ascii="宋体" w:hAnsi="宋体" w:eastAsia="宋体" w:cs="宋体"/>
          <w:color w:val="000000"/>
          <w:szCs w:val="28"/>
        </w:rPr>
      </w:pPr>
    </w:p>
    <w:p w14:paraId="50859BED">
      <w:pPr>
        <w:snapToGrid w:val="0"/>
        <w:spacing w:line="560" w:lineRule="exact"/>
        <w:ind w:firstLine="560" w:firstLineChars="200"/>
        <w:rPr>
          <w:rFonts w:hint="eastAsia" w:ascii="宋体" w:hAnsi="宋体" w:eastAsia="宋体" w:cs="宋体"/>
          <w:color w:val="000000"/>
          <w:szCs w:val="28"/>
        </w:rPr>
      </w:pPr>
    </w:p>
    <w:p w14:paraId="3F2E7881">
      <w:pPr>
        <w:snapToGrid w:val="0"/>
        <w:spacing w:line="560" w:lineRule="exact"/>
        <w:ind w:firstLine="560" w:firstLineChars="200"/>
        <w:rPr>
          <w:rFonts w:hint="eastAsia" w:ascii="宋体" w:hAnsi="宋体" w:eastAsia="宋体" w:cs="宋体"/>
          <w:color w:val="000000"/>
          <w:szCs w:val="28"/>
        </w:rPr>
      </w:pPr>
    </w:p>
    <w:p w14:paraId="11C577B4">
      <w:pPr>
        <w:snapToGrid w:val="0"/>
        <w:spacing w:line="560" w:lineRule="exact"/>
        <w:ind w:firstLine="560" w:firstLineChars="200"/>
        <w:rPr>
          <w:rFonts w:hint="eastAsia" w:ascii="宋体" w:hAnsi="宋体" w:eastAsia="宋体" w:cs="宋体"/>
          <w:color w:val="000000"/>
          <w:szCs w:val="28"/>
        </w:rPr>
      </w:pPr>
    </w:p>
    <w:p w14:paraId="2D661781">
      <w:pPr>
        <w:snapToGrid w:val="0"/>
        <w:spacing w:line="560" w:lineRule="exact"/>
        <w:ind w:firstLine="560" w:firstLineChars="200"/>
        <w:rPr>
          <w:rFonts w:hint="eastAsia" w:ascii="宋体" w:hAnsi="宋体" w:eastAsia="宋体" w:cs="宋体"/>
          <w:color w:val="000000"/>
          <w:szCs w:val="28"/>
        </w:rPr>
      </w:pPr>
    </w:p>
    <w:p w14:paraId="39C94E0A">
      <w:pPr>
        <w:snapToGrid w:val="0"/>
        <w:spacing w:line="560" w:lineRule="exact"/>
        <w:ind w:firstLine="560" w:firstLineChars="200"/>
        <w:rPr>
          <w:rFonts w:hint="eastAsia" w:ascii="宋体" w:hAnsi="宋体" w:eastAsia="宋体" w:cs="宋体"/>
          <w:color w:val="000000"/>
          <w:szCs w:val="28"/>
        </w:rPr>
      </w:pPr>
    </w:p>
    <w:p w14:paraId="1F9D6D24">
      <w:pPr>
        <w:snapToGrid w:val="0"/>
        <w:spacing w:line="560" w:lineRule="exact"/>
        <w:ind w:firstLine="560" w:firstLineChars="200"/>
        <w:rPr>
          <w:rFonts w:hint="eastAsia" w:ascii="宋体" w:hAnsi="宋体" w:eastAsia="宋体" w:cs="宋体"/>
          <w:color w:val="000000"/>
          <w:szCs w:val="28"/>
        </w:rPr>
      </w:pPr>
    </w:p>
    <w:p w14:paraId="5760E14F">
      <w:pPr>
        <w:snapToGrid w:val="0"/>
        <w:spacing w:line="560" w:lineRule="exact"/>
        <w:ind w:firstLine="560" w:firstLineChars="200"/>
        <w:rPr>
          <w:rFonts w:hint="eastAsia" w:ascii="宋体" w:hAnsi="宋体" w:eastAsia="宋体" w:cs="宋体"/>
          <w:color w:val="000000"/>
          <w:szCs w:val="28"/>
        </w:rPr>
      </w:pPr>
    </w:p>
    <w:p w14:paraId="06956CC9">
      <w:pPr>
        <w:snapToGrid w:val="0"/>
        <w:spacing w:line="560" w:lineRule="exact"/>
        <w:ind w:firstLine="560" w:firstLineChars="200"/>
        <w:rPr>
          <w:rFonts w:hint="eastAsia" w:ascii="宋体" w:hAnsi="宋体" w:eastAsia="宋体" w:cs="宋体"/>
          <w:color w:val="000000"/>
          <w:szCs w:val="28"/>
        </w:rPr>
      </w:pPr>
    </w:p>
    <w:p w14:paraId="14ECF469">
      <w:pPr>
        <w:snapToGrid w:val="0"/>
        <w:spacing w:line="560" w:lineRule="exact"/>
        <w:ind w:firstLine="560" w:firstLineChars="200"/>
        <w:rPr>
          <w:rFonts w:hint="eastAsia" w:ascii="宋体" w:hAnsi="宋体" w:eastAsia="宋体" w:cs="宋体"/>
          <w:color w:val="000000"/>
          <w:szCs w:val="28"/>
        </w:rPr>
      </w:pPr>
    </w:p>
    <w:p w14:paraId="0CB08569">
      <w:pPr>
        <w:snapToGrid w:val="0"/>
        <w:spacing w:line="560" w:lineRule="exact"/>
        <w:ind w:firstLine="560" w:firstLineChars="200"/>
        <w:rPr>
          <w:rFonts w:hint="eastAsia" w:ascii="宋体" w:hAnsi="宋体" w:eastAsia="宋体" w:cs="宋体"/>
          <w:color w:val="000000"/>
          <w:szCs w:val="28"/>
        </w:rPr>
      </w:pPr>
    </w:p>
    <w:p w14:paraId="6B3D9C6F">
      <w:pPr>
        <w:snapToGrid w:val="0"/>
        <w:spacing w:line="560" w:lineRule="exact"/>
        <w:ind w:firstLine="560" w:firstLineChars="200"/>
        <w:rPr>
          <w:rFonts w:hint="eastAsia" w:ascii="宋体" w:hAnsi="宋体" w:eastAsia="宋体" w:cs="宋体"/>
          <w:color w:val="000000"/>
          <w:szCs w:val="28"/>
        </w:rPr>
      </w:pPr>
    </w:p>
    <w:p w14:paraId="5BD64E8B">
      <w:pPr>
        <w:snapToGrid w:val="0"/>
        <w:spacing w:line="560" w:lineRule="exact"/>
        <w:ind w:firstLine="560" w:firstLineChars="200"/>
        <w:rPr>
          <w:rFonts w:hint="eastAsia" w:ascii="宋体" w:hAnsi="宋体" w:eastAsia="宋体" w:cs="宋体"/>
          <w:color w:val="000000"/>
          <w:szCs w:val="28"/>
        </w:rPr>
      </w:pPr>
    </w:p>
    <w:p w14:paraId="2843B82B">
      <w:pPr>
        <w:snapToGrid w:val="0"/>
        <w:spacing w:line="560" w:lineRule="exact"/>
        <w:ind w:firstLine="560" w:firstLineChars="200"/>
        <w:rPr>
          <w:rFonts w:hint="eastAsia" w:ascii="宋体" w:hAnsi="宋体" w:eastAsia="宋体" w:cs="宋体"/>
          <w:color w:val="000000"/>
          <w:szCs w:val="28"/>
        </w:rPr>
      </w:pPr>
    </w:p>
    <w:p w14:paraId="065C0339">
      <w:pPr>
        <w:snapToGrid w:val="0"/>
        <w:spacing w:line="560" w:lineRule="exact"/>
        <w:rPr>
          <w:rFonts w:hint="eastAsia" w:ascii="宋体" w:hAnsi="宋体" w:eastAsia="宋体" w:cs="宋体"/>
          <w:color w:val="000000"/>
          <w:szCs w:val="28"/>
        </w:rPr>
      </w:pPr>
    </w:p>
    <w:p w14:paraId="09EA17D3">
      <w:pPr>
        <w:widowControl/>
        <w:ind w:firstLine="480"/>
        <w:rPr>
          <w:rFonts w:hint="eastAsia" w:ascii="宋体" w:hAnsi="宋体" w:eastAsia="宋体" w:cs="宋体"/>
          <w:color w:val="000000"/>
        </w:rPr>
      </w:pPr>
      <w:r>
        <w:rPr>
          <w:rFonts w:hint="eastAsia" w:ascii="宋体" w:hAnsi="宋体" w:eastAsia="宋体" w:cs="宋体"/>
          <w:color w:val="000000"/>
        </w:rPr>
        <w:t>（三）法定代表人身份证明书（格式）</w:t>
      </w:r>
    </w:p>
    <w:p w14:paraId="79ADBCB9">
      <w:pPr>
        <w:tabs>
          <w:tab w:val="left" w:pos="6300"/>
        </w:tabs>
        <w:snapToGrid w:val="0"/>
        <w:spacing w:line="500" w:lineRule="exact"/>
        <w:ind w:firstLine="480"/>
        <w:rPr>
          <w:rFonts w:hint="eastAsia" w:ascii="宋体" w:hAnsi="宋体" w:eastAsia="宋体" w:cs="宋体"/>
          <w:color w:val="000000"/>
        </w:rPr>
      </w:pPr>
    </w:p>
    <w:p w14:paraId="1E7FFF1B">
      <w:pPr>
        <w:tabs>
          <w:tab w:val="left" w:pos="6300"/>
        </w:tabs>
        <w:snapToGrid w:val="0"/>
        <w:spacing w:line="500" w:lineRule="exact"/>
        <w:ind w:firstLine="48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single"/>
        </w:rPr>
        <w:t xml:space="preserve">                                                </w:t>
      </w:r>
    </w:p>
    <w:p w14:paraId="7F3C437B">
      <w:pPr>
        <w:tabs>
          <w:tab w:val="left" w:pos="6300"/>
        </w:tabs>
        <w:snapToGrid w:val="0"/>
        <w:spacing w:line="500" w:lineRule="exact"/>
        <w:ind w:firstLine="480"/>
        <w:rPr>
          <w:rFonts w:hint="eastAsia" w:ascii="宋体" w:hAnsi="宋体" w:eastAsia="宋体" w:cs="宋体"/>
          <w:color w:val="000000"/>
          <w:sz w:val="24"/>
          <w:szCs w:val="24"/>
        </w:rPr>
      </w:pPr>
    </w:p>
    <w:p w14:paraId="20713B7F">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rPr>
        <w:t xml:space="preserve">  重庆医科大学附属永川</w:t>
      </w:r>
      <w:r>
        <w:rPr>
          <w:rFonts w:hint="eastAsia" w:ascii="宋体" w:hAnsi="宋体" w:eastAsia="宋体" w:cs="宋体"/>
          <w:color w:val="000000"/>
          <w:sz w:val="24"/>
          <w:szCs w:val="24"/>
          <w:u w:val="single"/>
          <w:lang w:eastAsia="zh-CN"/>
        </w:rPr>
        <w:t>医院</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59AB5C29">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（法定代表人姓名）在</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（供应商名称）任</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（职务名称）职务，是（供应商名称）</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的法定代表人。</w:t>
      </w:r>
    </w:p>
    <w:p w14:paraId="51F55017">
      <w:pPr>
        <w:tabs>
          <w:tab w:val="left" w:pos="6300"/>
        </w:tabs>
        <w:snapToGrid w:val="0"/>
        <w:spacing w:line="500" w:lineRule="exact"/>
        <w:ind w:firstLine="480"/>
        <w:rPr>
          <w:rFonts w:hint="eastAsia" w:ascii="宋体" w:hAnsi="宋体" w:eastAsia="宋体" w:cs="宋体"/>
          <w:color w:val="000000"/>
          <w:sz w:val="24"/>
          <w:szCs w:val="24"/>
        </w:rPr>
      </w:pPr>
    </w:p>
    <w:p w14:paraId="3E29D43B">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特此证明。</w:t>
      </w:r>
    </w:p>
    <w:p w14:paraId="3DCAEEE5">
      <w:pPr>
        <w:tabs>
          <w:tab w:val="left" w:pos="6300"/>
        </w:tabs>
        <w:snapToGrid w:val="0"/>
        <w:spacing w:line="500" w:lineRule="exact"/>
        <w:ind w:firstLine="480"/>
        <w:rPr>
          <w:rFonts w:hint="eastAsia" w:ascii="宋体" w:hAnsi="宋体" w:eastAsia="宋体" w:cs="宋体"/>
          <w:color w:val="000000"/>
          <w:sz w:val="24"/>
          <w:szCs w:val="24"/>
        </w:rPr>
      </w:pPr>
    </w:p>
    <w:p w14:paraId="20EC56B5">
      <w:pPr>
        <w:tabs>
          <w:tab w:val="left" w:pos="6300"/>
        </w:tabs>
        <w:snapToGrid w:val="0"/>
        <w:spacing w:line="500" w:lineRule="exact"/>
        <w:ind w:firstLine="480"/>
        <w:rPr>
          <w:rFonts w:hint="eastAsia" w:ascii="宋体" w:hAnsi="宋体" w:eastAsia="宋体" w:cs="宋体"/>
          <w:color w:val="000000"/>
          <w:sz w:val="24"/>
          <w:szCs w:val="24"/>
        </w:rPr>
      </w:pPr>
    </w:p>
    <w:p w14:paraId="77F907D5">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（供应商公章）</w:t>
      </w:r>
    </w:p>
    <w:p w14:paraId="4001571B">
      <w:pPr>
        <w:tabs>
          <w:tab w:val="left" w:pos="6300"/>
        </w:tabs>
        <w:snapToGrid w:val="0"/>
        <w:spacing w:line="500" w:lineRule="exact"/>
        <w:ind w:firstLine="480"/>
        <w:rPr>
          <w:rFonts w:hint="eastAsia" w:ascii="宋体" w:hAnsi="宋体" w:eastAsia="宋体" w:cs="宋体"/>
          <w:color w:val="000000"/>
          <w:sz w:val="24"/>
          <w:szCs w:val="24"/>
        </w:rPr>
      </w:pPr>
    </w:p>
    <w:p w14:paraId="6E782BC5">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24BC03E3">
      <w:pPr>
        <w:tabs>
          <w:tab w:val="left" w:pos="6300"/>
        </w:tabs>
        <w:snapToGrid w:val="0"/>
        <w:spacing w:line="500" w:lineRule="exact"/>
        <w:ind w:firstLine="480"/>
        <w:rPr>
          <w:rFonts w:hint="eastAsia" w:ascii="宋体" w:hAnsi="宋体" w:eastAsia="宋体" w:cs="宋体"/>
          <w:color w:val="000000"/>
        </w:rPr>
      </w:pPr>
    </w:p>
    <w:p w14:paraId="602972B1">
      <w:pPr>
        <w:tabs>
          <w:tab w:val="left" w:pos="6300"/>
        </w:tabs>
        <w:snapToGrid w:val="0"/>
        <w:spacing w:line="500" w:lineRule="exact"/>
        <w:ind w:firstLine="570"/>
        <w:rPr>
          <w:rFonts w:hint="eastAsia" w:ascii="宋体" w:hAnsi="宋体" w:eastAsia="宋体" w:cs="宋体"/>
          <w:color w:val="000000"/>
          <w:sz w:val="24"/>
        </w:rPr>
      </w:pPr>
      <w:r>
        <w:rPr>
          <w:rFonts w:hint="eastAsia" w:ascii="宋体" w:hAnsi="宋体" w:eastAsia="宋体" w:cs="宋体"/>
          <w:color w:val="000000"/>
          <w:sz w:val="24"/>
        </w:rPr>
        <w:t>（附：法定代表人身份证正反面复印件）</w:t>
      </w:r>
    </w:p>
    <w:p w14:paraId="1252EC3A">
      <w:pPr>
        <w:tabs>
          <w:tab w:val="left" w:pos="6300"/>
        </w:tabs>
        <w:snapToGrid w:val="0"/>
        <w:spacing w:line="500" w:lineRule="exact"/>
        <w:ind w:firstLine="570"/>
        <w:rPr>
          <w:rFonts w:hint="eastAsia" w:ascii="宋体" w:hAnsi="宋体" w:eastAsia="宋体" w:cs="宋体"/>
          <w:color w:val="000000"/>
          <w:sz w:val="24"/>
        </w:rPr>
      </w:pPr>
    </w:p>
    <w:p w14:paraId="273D96A0">
      <w:pPr>
        <w:tabs>
          <w:tab w:val="left" w:pos="6300"/>
        </w:tabs>
        <w:snapToGrid w:val="0"/>
        <w:spacing w:line="500" w:lineRule="exact"/>
        <w:ind w:firstLine="480"/>
        <w:rPr>
          <w:rFonts w:hint="eastAsia" w:ascii="宋体" w:hAnsi="宋体" w:eastAsia="宋体" w:cs="宋体"/>
          <w:color w:val="000000"/>
        </w:rPr>
      </w:pPr>
    </w:p>
    <w:p w14:paraId="0A7BC7F1">
      <w:pPr>
        <w:tabs>
          <w:tab w:val="left" w:pos="6300"/>
        </w:tabs>
        <w:snapToGrid w:val="0"/>
        <w:spacing w:line="500" w:lineRule="exact"/>
        <w:ind w:firstLine="480"/>
        <w:rPr>
          <w:rFonts w:hint="eastAsia" w:ascii="宋体" w:hAnsi="宋体" w:eastAsia="宋体" w:cs="宋体"/>
          <w:color w:val="000000"/>
        </w:rPr>
      </w:pPr>
    </w:p>
    <w:p w14:paraId="76355BC8">
      <w:pPr>
        <w:tabs>
          <w:tab w:val="left" w:pos="6300"/>
        </w:tabs>
        <w:snapToGrid w:val="0"/>
        <w:spacing w:line="500" w:lineRule="exact"/>
        <w:ind w:firstLine="480"/>
        <w:rPr>
          <w:rFonts w:hint="eastAsia" w:ascii="宋体" w:hAnsi="宋体" w:eastAsia="宋体" w:cs="宋体"/>
          <w:color w:val="000000"/>
        </w:rPr>
      </w:pPr>
    </w:p>
    <w:p w14:paraId="249CC3A9">
      <w:pPr>
        <w:tabs>
          <w:tab w:val="left" w:pos="6300"/>
        </w:tabs>
        <w:snapToGrid w:val="0"/>
        <w:spacing w:line="500" w:lineRule="exact"/>
        <w:ind w:firstLine="480"/>
        <w:rPr>
          <w:rFonts w:hint="eastAsia" w:ascii="宋体" w:hAnsi="宋体" w:eastAsia="宋体" w:cs="宋体"/>
          <w:color w:val="000000"/>
        </w:rPr>
      </w:pPr>
    </w:p>
    <w:p w14:paraId="66F05A0F">
      <w:pPr>
        <w:tabs>
          <w:tab w:val="left" w:pos="6300"/>
        </w:tabs>
        <w:snapToGrid w:val="0"/>
        <w:spacing w:line="500" w:lineRule="exact"/>
        <w:ind w:firstLine="480"/>
        <w:rPr>
          <w:rFonts w:hint="eastAsia" w:ascii="宋体" w:hAnsi="宋体" w:eastAsia="宋体" w:cs="宋体"/>
          <w:color w:val="000000"/>
        </w:rPr>
      </w:pPr>
    </w:p>
    <w:p w14:paraId="38020666">
      <w:pPr>
        <w:snapToGrid w:val="0"/>
        <w:spacing w:line="560" w:lineRule="exact"/>
        <w:rPr>
          <w:rFonts w:hint="eastAsia" w:ascii="宋体" w:hAnsi="宋体" w:eastAsia="宋体" w:cs="宋体"/>
          <w:color w:val="000000"/>
          <w:szCs w:val="28"/>
        </w:rPr>
      </w:pPr>
    </w:p>
    <w:p w14:paraId="388DF50F">
      <w:pPr>
        <w:snapToGrid w:val="0"/>
        <w:spacing w:line="560" w:lineRule="exact"/>
        <w:rPr>
          <w:rFonts w:hint="eastAsia" w:ascii="宋体" w:hAnsi="宋体" w:eastAsia="宋体" w:cs="宋体"/>
          <w:color w:val="000000"/>
          <w:szCs w:val="28"/>
        </w:rPr>
      </w:pPr>
    </w:p>
    <w:p w14:paraId="72E281B6">
      <w:pPr>
        <w:snapToGrid w:val="0"/>
        <w:spacing w:line="560" w:lineRule="exact"/>
        <w:rPr>
          <w:rFonts w:hint="eastAsia" w:ascii="宋体" w:hAnsi="宋体" w:eastAsia="宋体" w:cs="宋体"/>
          <w:color w:val="000000"/>
          <w:szCs w:val="28"/>
        </w:rPr>
      </w:pPr>
    </w:p>
    <w:p w14:paraId="53FE709D">
      <w:pPr>
        <w:snapToGrid w:val="0"/>
        <w:spacing w:line="560" w:lineRule="exact"/>
        <w:rPr>
          <w:rFonts w:hint="eastAsia" w:ascii="宋体" w:hAnsi="宋体" w:eastAsia="宋体" w:cs="宋体"/>
          <w:color w:val="000000"/>
          <w:szCs w:val="28"/>
        </w:rPr>
      </w:pPr>
    </w:p>
    <w:p w14:paraId="52858F2A">
      <w:pPr>
        <w:tabs>
          <w:tab w:val="left" w:pos="6300"/>
        </w:tabs>
        <w:snapToGrid w:val="0"/>
        <w:spacing w:line="500" w:lineRule="exact"/>
        <w:ind w:firstLine="480"/>
        <w:rPr>
          <w:rFonts w:hint="eastAsia" w:ascii="宋体" w:hAnsi="宋体" w:eastAsia="宋体" w:cs="宋体"/>
          <w:color w:val="000000"/>
        </w:rPr>
      </w:pPr>
    </w:p>
    <w:p w14:paraId="4156CD55">
      <w:pPr>
        <w:tabs>
          <w:tab w:val="left" w:pos="6300"/>
        </w:tabs>
        <w:snapToGrid w:val="0"/>
        <w:spacing w:line="500" w:lineRule="exact"/>
        <w:ind w:firstLine="480"/>
        <w:rPr>
          <w:rFonts w:hint="eastAsia" w:ascii="宋体" w:hAnsi="宋体" w:eastAsia="宋体" w:cs="宋体"/>
          <w:color w:val="000000"/>
        </w:rPr>
      </w:pPr>
    </w:p>
    <w:p w14:paraId="645AEFD7">
      <w:pPr>
        <w:tabs>
          <w:tab w:val="left" w:pos="6300"/>
        </w:tabs>
        <w:snapToGrid w:val="0"/>
        <w:spacing w:line="500" w:lineRule="exact"/>
        <w:ind w:firstLine="480"/>
        <w:rPr>
          <w:rFonts w:hint="eastAsia" w:ascii="宋体" w:hAnsi="宋体" w:eastAsia="宋体" w:cs="宋体"/>
          <w:color w:val="000000"/>
        </w:rPr>
      </w:pPr>
      <w:r>
        <w:rPr>
          <w:rFonts w:hint="eastAsia" w:ascii="宋体" w:hAnsi="宋体" w:eastAsia="宋体" w:cs="宋体"/>
          <w:color w:val="000000"/>
        </w:rPr>
        <w:t>（四）法定代表人授权委托书（格式）</w:t>
      </w:r>
    </w:p>
    <w:p w14:paraId="755C37AA">
      <w:pPr>
        <w:tabs>
          <w:tab w:val="left" w:pos="6300"/>
        </w:tabs>
        <w:snapToGrid w:val="0"/>
        <w:spacing w:line="500" w:lineRule="exact"/>
        <w:ind w:firstLine="480"/>
        <w:rPr>
          <w:rFonts w:hint="eastAsia" w:ascii="宋体" w:hAnsi="宋体" w:eastAsia="宋体" w:cs="宋体"/>
          <w:color w:val="000000"/>
        </w:rPr>
      </w:pPr>
      <w:r>
        <w:rPr>
          <w:rFonts w:hint="eastAsia" w:ascii="宋体" w:hAnsi="宋体" w:eastAsia="宋体" w:cs="宋体"/>
          <w:color w:val="000000"/>
        </w:rPr>
        <w:t xml:space="preserve">    </w:t>
      </w:r>
    </w:p>
    <w:p w14:paraId="7E75934B">
      <w:pPr>
        <w:tabs>
          <w:tab w:val="left" w:pos="6300"/>
        </w:tabs>
        <w:snapToGrid w:val="0"/>
        <w:spacing w:line="500" w:lineRule="exact"/>
        <w:ind w:firstLine="48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single"/>
        </w:rPr>
        <w:t xml:space="preserve">                                                </w:t>
      </w:r>
    </w:p>
    <w:p w14:paraId="3F068C07">
      <w:pPr>
        <w:tabs>
          <w:tab w:val="left" w:pos="6300"/>
        </w:tabs>
        <w:snapToGrid w:val="0"/>
        <w:spacing w:line="500" w:lineRule="exact"/>
        <w:ind w:firstLine="480"/>
        <w:rPr>
          <w:rFonts w:hint="eastAsia" w:ascii="宋体" w:hAnsi="宋体" w:eastAsia="宋体" w:cs="宋体"/>
          <w:color w:val="000000"/>
          <w:sz w:val="24"/>
          <w:szCs w:val="24"/>
        </w:rPr>
      </w:pPr>
    </w:p>
    <w:p w14:paraId="7D720366">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rPr>
        <w:t xml:space="preserve"> 重庆医科大学附属永川</w:t>
      </w:r>
      <w:r>
        <w:rPr>
          <w:rFonts w:hint="eastAsia" w:ascii="宋体" w:hAnsi="宋体" w:eastAsia="宋体" w:cs="宋体"/>
          <w:color w:val="000000"/>
          <w:sz w:val="24"/>
          <w:szCs w:val="24"/>
          <w:u w:val="single"/>
          <w:lang w:eastAsia="zh-CN"/>
        </w:rPr>
        <w:t>医院</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0B388B2B">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（供应商法定代表人名称）是</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（供应商名称）的法定代表人，特授权</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（被授权人姓名及身份证号码）代表我单位全权办理上述项目的比选、签约等具体工作，并签署全部有关文件、协议及合同。</w:t>
      </w:r>
    </w:p>
    <w:p w14:paraId="56062F5E">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我单位对被授权人的签字负全部责任。</w:t>
      </w:r>
    </w:p>
    <w:p w14:paraId="2BA2D029">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在撤消授权的书面通知以前，本授权书一直有效。被授权人在授权书有效期内签署的所有文件不因授权的撤消而失效。</w:t>
      </w:r>
    </w:p>
    <w:p w14:paraId="64B729E3">
      <w:pPr>
        <w:tabs>
          <w:tab w:val="left" w:pos="6300"/>
        </w:tabs>
        <w:snapToGrid w:val="0"/>
        <w:spacing w:line="500" w:lineRule="exact"/>
        <w:ind w:firstLine="480"/>
        <w:rPr>
          <w:rFonts w:hint="eastAsia" w:ascii="宋体" w:hAnsi="宋体" w:eastAsia="宋体" w:cs="宋体"/>
          <w:color w:val="000000"/>
          <w:sz w:val="24"/>
          <w:szCs w:val="24"/>
        </w:rPr>
      </w:pPr>
    </w:p>
    <w:p w14:paraId="488AC9E4">
      <w:pPr>
        <w:tabs>
          <w:tab w:val="left" w:pos="6300"/>
        </w:tabs>
        <w:snapToGrid w:val="0"/>
        <w:spacing w:line="500" w:lineRule="exact"/>
        <w:ind w:firstLine="480"/>
        <w:rPr>
          <w:rFonts w:hint="eastAsia" w:ascii="宋体" w:hAnsi="宋体" w:eastAsia="宋体" w:cs="宋体"/>
          <w:color w:val="000000"/>
          <w:sz w:val="24"/>
          <w:szCs w:val="24"/>
        </w:rPr>
      </w:pPr>
    </w:p>
    <w:p w14:paraId="3B7CF381">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被授权人（签字）：                      供应商法定代表人（签字）：</w:t>
      </w:r>
    </w:p>
    <w:p w14:paraId="417D4381">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p>
    <w:p w14:paraId="300C3CD8">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（附：被授权人身份证正反面复印件）</w:t>
      </w:r>
    </w:p>
    <w:p w14:paraId="37C3401F">
      <w:pPr>
        <w:tabs>
          <w:tab w:val="left" w:pos="6300"/>
        </w:tabs>
        <w:snapToGrid w:val="0"/>
        <w:spacing w:line="50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p>
    <w:p w14:paraId="1BA23492">
      <w:pPr>
        <w:tabs>
          <w:tab w:val="left" w:pos="6300"/>
        </w:tabs>
        <w:snapToGrid w:val="0"/>
        <w:spacing w:line="500" w:lineRule="exact"/>
        <w:ind w:firstLine="480"/>
        <w:rPr>
          <w:rFonts w:hint="eastAsia" w:ascii="宋体" w:hAnsi="宋体" w:eastAsia="宋体" w:cs="宋体"/>
          <w:color w:val="000000"/>
          <w:sz w:val="24"/>
          <w:szCs w:val="24"/>
        </w:rPr>
      </w:pPr>
    </w:p>
    <w:p w14:paraId="04490755">
      <w:pPr>
        <w:tabs>
          <w:tab w:val="left" w:pos="6300"/>
        </w:tabs>
        <w:snapToGrid w:val="0"/>
        <w:spacing w:line="500" w:lineRule="exact"/>
        <w:ind w:right="480" w:firstLine="480"/>
        <w:jc w:val="right"/>
        <w:rPr>
          <w:rFonts w:hint="eastAsia" w:ascii="宋体" w:hAnsi="宋体" w:eastAsia="宋体" w:cs="宋体"/>
          <w:color w:val="000000"/>
          <w:sz w:val="24"/>
          <w:szCs w:val="24"/>
        </w:rPr>
      </w:pPr>
      <w:r>
        <w:rPr>
          <w:rFonts w:hint="eastAsia" w:ascii="宋体" w:hAnsi="宋体" w:eastAsia="宋体" w:cs="宋体"/>
          <w:color w:val="000000"/>
          <w:sz w:val="24"/>
          <w:szCs w:val="24"/>
        </w:rPr>
        <w:t>（供应商公章）</w:t>
      </w:r>
    </w:p>
    <w:p w14:paraId="3623261C">
      <w:pPr>
        <w:tabs>
          <w:tab w:val="left" w:pos="6300"/>
        </w:tabs>
        <w:snapToGrid w:val="0"/>
        <w:spacing w:line="500" w:lineRule="exact"/>
        <w:ind w:right="480" w:firstLine="480"/>
        <w:jc w:val="right"/>
        <w:rPr>
          <w:rFonts w:hint="eastAsia" w:ascii="宋体" w:hAnsi="宋体" w:eastAsia="宋体" w:cs="宋体"/>
          <w:color w:val="000000"/>
          <w:sz w:val="24"/>
          <w:szCs w:val="24"/>
        </w:rPr>
      </w:pPr>
      <w:r>
        <w:rPr>
          <w:rFonts w:hint="eastAsia" w:ascii="宋体" w:hAnsi="宋体" w:eastAsia="宋体" w:cs="宋体"/>
          <w:color w:val="000000"/>
          <w:sz w:val="24"/>
          <w:szCs w:val="24"/>
        </w:rPr>
        <w:t>年   月   日</w:t>
      </w:r>
    </w:p>
    <w:p w14:paraId="00E89E1B">
      <w:pPr>
        <w:tabs>
          <w:tab w:val="left" w:pos="6300"/>
        </w:tabs>
        <w:snapToGrid w:val="0"/>
        <w:spacing w:line="500" w:lineRule="exact"/>
        <w:ind w:right="480" w:firstLine="480"/>
        <w:jc w:val="right"/>
        <w:rPr>
          <w:rFonts w:hint="eastAsia" w:ascii="宋体" w:hAnsi="宋体" w:eastAsia="宋体" w:cs="宋体"/>
          <w:color w:val="000000"/>
          <w:sz w:val="24"/>
          <w:szCs w:val="24"/>
        </w:rPr>
      </w:pPr>
    </w:p>
    <w:p w14:paraId="42DFDCD5">
      <w:pPr>
        <w:tabs>
          <w:tab w:val="left" w:pos="6300"/>
        </w:tabs>
        <w:snapToGrid w:val="0"/>
        <w:spacing w:line="500" w:lineRule="exact"/>
        <w:ind w:right="480" w:firstLine="480"/>
        <w:jc w:val="right"/>
        <w:rPr>
          <w:rFonts w:hint="eastAsia" w:ascii="宋体" w:hAnsi="宋体" w:eastAsia="宋体" w:cs="宋体"/>
          <w:color w:val="000000"/>
          <w:sz w:val="24"/>
          <w:szCs w:val="24"/>
        </w:rPr>
      </w:pPr>
    </w:p>
    <w:p w14:paraId="6B9366DA">
      <w:pPr>
        <w:tabs>
          <w:tab w:val="left" w:pos="6300"/>
        </w:tabs>
        <w:snapToGrid w:val="0"/>
        <w:spacing w:line="500" w:lineRule="exact"/>
        <w:ind w:right="480" w:firstLine="480"/>
        <w:jc w:val="right"/>
        <w:rPr>
          <w:rFonts w:hint="eastAsia" w:ascii="宋体" w:hAnsi="宋体" w:eastAsia="宋体" w:cs="宋体"/>
          <w:color w:val="000000"/>
          <w:sz w:val="24"/>
          <w:szCs w:val="24"/>
        </w:rPr>
      </w:pPr>
    </w:p>
    <w:p w14:paraId="7A96F286">
      <w:pPr>
        <w:tabs>
          <w:tab w:val="left" w:pos="6300"/>
        </w:tabs>
        <w:snapToGrid w:val="0"/>
        <w:spacing w:line="500" w:lineRule="exact"/>
        <w:ind w:firstLine="480"/>
        <w:rPr>
          <w:rFonts w:hint="eastAsia" w:ascii="宋体" w:hAnsi="宋体" w:eastAsia="宋体" w:cs="宋体"/>
          <w:color w:val="000000"/>
          <w:sz w:val="24"/>
        </w:rPr>
      </w:pPr>
      <w:r>
        <w:rPr>
          <w:rFonts w:hint="eastAsia" w:ascii="宋体" w:hAnsi="宋体" w:eastAsia="宋体" w:cs="宋体"/>
          <w:color w:val="000000"/>
          <w:sz w:val="24"/>
        </w:rPr>
        <w:t>（附：法定代表人身份证正反面复印件）</w:t>
      </w:r>
    </w:p>
    <w:p w14:paraId="61D153F7">
      <w:pPr>
        <w:tabs>
          <w:tab w:val="left" w:pos="6300"/>
        </w:tabs>
        <w:snapToGrid w:val="0"/>
        <w:spacing w:line="500" w:lineRule="exact"/>
        <w:ind w:firstLine="480"/>
        <w:rPr>
          <w:rFonts w:hint="eastAsia" w:ascii="宋体" w:hAnsi="宋体" w:eastAsia="宋体" w:cs="宋体"/>
          <w:color w:val="000000"/>
          <w:sz w:val="24"/>
        </w:rPr>
      </w:pPr>
    </w:p>
    <w:p w14:paraId="6DC923AB">
      <w:pPr>
        <w:tabs>
          <w:tab w:val="left" w:pos="6300"/>
        </w:tabs>
        <w:snapToGrid w:val="0"/>
        <w:spacing w:line="500" w:lineRule="exact"/>
        <w:ind w:firstLine="480"/>
        <w:rPr>
          <w:rFonts w:hint="eastAsia" w:ascii="宋体" w:hAnsi="宋体" w:eastAsia="宋体" w:cs="宋体"/>
          <w:color w:val="000000"/>
          <w:sz w:val="24"/>
        </w:rPr>
      </w:pPr>
    </w:p>
    <w:p w14:paraId="7525E579">
      <w:pPr>
        <w:tabs>
          <w:tab w:val="left" w:pos="6300"/>
        </w:tabs>
        <w:snapToGrid w:val="0"/>
        <w:spacing w:line="500" w:lineRule="exact"/>
        <w:ind w:firstLine="480"/>
        <w:rPr>
          <w:rFonts w:hint="eastAsia" w:ascii="宋体" w:hAnsi="宋体" w:eastAsia="宋体" w:cs="宋体"/>
          <w:color w:val="000000"/>
          <w:sz w:val="24"/>
        </w:rPr>
      </w:pPr>
    </w:p>
    <w:p w14:paraId="7F7F2F47">
      <w:pPr>
        <w:tabs>
          <w:tab w:val="left" w:pos="6300"/>
        </w:tabs>
        <w:snapToGrid w:val="0"/>
        <w:spacing w:line="500" w:lineRule="exact"/>
        <w:ind w:firstLine="480"/>
        <w:rPr>
          <w:rFonts w:hint="eastAsia" w:ascii="宋体" w:hAnsi="宋体" w:eastAsia="宋体" w:cs="宋体"/>
          <w:color w:val="000000"/>
          <w:sz w:val="24"/>
          <w:szCs w:val="24"/>
        </w:rPr>
      </w:pPr>
    </w:p>
    <w:p w14:paraId="5C45D818">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shd w:val="clear" w:color="auto" w:fill="auto"/>
          <w:lang w:eastAsia="zh-CN"/>
        </w:rPr>
        <w:t>（五）</w:t>
      </w:r>
      <w:bookmarkStart w:id="186" w:name="OLE_LINK7"/>
      <w:bookmarkStart w:id="187" w:name="OLE_LINK4"/>
      <w:r>
        <w:rPr>
          <w:rFonts w:hint="eastAsia" w:ascii="宋体" w:hAnsi="宋体" w:eastAsia="宋体" w:cs="宋体"/>
          <w:color w:val="000000"/>
          <w:sz w:val="28"/>
          <w:szCs w:val="20"/>
          <w:shd w:val="clear" w:color="auto" w:fill="auto"/>
          <w:lang w:eastAsia="zh-CN"/>
        </w:rPr>
        <w:t>基本资格条件承诺函</w:t>
      </w:r>
    </w:p>
    <w:p w14:paraId="5BAF65DA">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shd w:val="clear" w:color="auto" w:fill="auto"/>
          <w:lang w:eastAsia="zh-CN"/>
        </w:rPr>
        <w:t>项目名称：</w:t>
      </w:r>
      <w:r>
        <w:rPr>
          <w:rFonts w:hint="eastAsia" w:ascii="宋体" w:hAnsi="宋体" w:eastAsia="宋体" w:cs="宋体"/>
          <w:color w:val="000000"/>
          <w:sz w:val="28"/>
          <w:szCs w:val="20"/>
          <w:u w:val="single"/>
          <w:shd w:val="clear" w:color="auto" w:fill="auto"/>
          <w:lang w:eastAsia="zh-CN"/>
        </w:rPr>
        <w:t xml:space="preserve">                                                </w:t>
      </w:r>
    </w:p>
    <w:p w14:paraId="237613D6">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shd w:val="clear" w:color="auto" w:fill="auto"/>
          <w:lang w:eastAsia="zh-CN"/>
        </w:rPr>
        <w:t>项目编号：</w:t>
      </w:r>
      <w:r>
        <w:rPr>
          <w:rFonts w:hint="eastAsia" w:ascii="宋体" w:hAnsi="宋体" w:eastAsia="宋体" w:cs="宋体"/>
          <w:color w:val="000000"/>
          <w:sz w:val="28"/>
          <w:szCs w:val="20"/>
          <w:u w:val="single"/>
          <w:shd w:val="clear" w:color="auto" w:fill="auto"/>
          <w:lang w:eastAsia="zh-CN"/>
        </w:rPr>
        <w:t xml:space="preserve">                                                </w:t>
      </w:r>
    </w:p>
    <w:p w14:paraId="2B76B30D">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p>
    <w:p w14:paraId="7EC925A2">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shd w:val="clear" w:color="auto" w:fill="auto"/>
          <w:lang w:eastAsia="zh-CN"/>
        </w:rPr>
        <w:t>致：重庆医科大学附属永川医院：</w:t>
      </w:r>
    </w:p>
    <w:p w14:paraId="0E43551D">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u w:val="single"/>
          <w:shd w:val="clear" w:color="auto" w:fill="auto"/>
          <w:lang w:eastAsia="zh-CN"/>
        </w:rPr>
        <w:t xml:space="preserve">                      </w:t>
      </w:r>
      <w:r>
        <w:rPr>
          <w:rFonts w:hint="eastAsia" w:ascii="宋体" w:hAnsi="宋体" w:eastAsia="宋体" w:cs="宋体"/>
          <w:color w:val="000000"/>
          <w:sz w:val="28"/>
          <w:szCs w:val="20"/>
          <w:shd w:val="clear" w:color="auto" w:fill="auto"/>
          <w:lang w:eastAsia="zh-CN"/>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32532987">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shd w:val="clear" w:color="auto" w:fill="auto"/>
          <w:lang w:eastAsia="zh-CN"/>
        </w:rPr>
        <w:t>特此声明。</w:t>
      </w:r>
    </w:p>
    <w:p w14:paraId="2ECCBE17">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p>
    <w:p w14:paraId="524732D6">
      <w:pPr>
        <w:tabs>
          <w:tab w:val="left" w:pos="6300"/>
        </w:tabs>
        <w:snapToGrid w:val="0"/>
        <w:spacing w:line="500" w:lineRule="exact"/>
        <w:ind w:firstLine="560" w:firstLineChars="200"/>
        <w:rPr>
          <w:rFonts w:hint="eastAsia" w:ascii="宋体" w:hAnsi="宋体" w:eastAsia="宋体" w:cs="宋体"/>
          <w:color w:val="000000"/>
          <w:sz w:val="28"/>
          <w:szCs w:val="20"/>
          <w:shd w:val="clear" w:color="auto" w:fill="auto"/>
          <w:lang w:eastAsia="zh-CN"/>
        </w:rPr>
      </w:pPr>
    </w:p>
    <w:p w14:paraId="189183FA">
      <w:pPr>
        <w:tabs>
          <w:tab w:val="left" w:pos="6300"/>
        </w:tabs>
        <w:snapToGrid w:val="0"/>
        <w:spacing w:line="500" w:lineRule="exact"/>
        <w:ind w:firstLine="560" w:firstLineChars="200"/>
        <w:jc w:val="right"/>
        <w:rPr>
          <w:rFonts w:hint="eastAsia" w:ascii="宋体" w:hAnsi="宋体" w:eastAsia="宋体" w:cs="宋体"/>
          <w:color w:val="000000"/>
          <w:sz w:val="28"/>
          <w:szCs w:val="20"/>
          <w:shd w:val="clear" w:color="auto" w:fill="auto"/>
          <w:lang w:eastAsia="zh-CN"/>
        </w:rPr>
      </w:pPr>
    </w:p>
    <w:p w14:paraId="471BD294">
      <w:pPr>
        <w:tabs>
          <w:tab w:val="left" w:pos="6300"/>
        </w:tabs>
        <w:snapToGrid w:val="0"/>
        <w:spacing w:line="500" w:lineRule="exact"/>
        <w:ind w:firstLine="560" w:firstLineChars="200"/>
        <w:jc w:val="right"/>
        <w:rPr>
          <w:rFonts w:hint="eastAsia" w:ascii="宋体" w:hAnsi="宋体" w:eastAsia="宋体" w:cs="宋体"/>
          <w:color w:val="000000"/>
          <w:sz w:val="28"/>
          <w:szCs w:val="20"/>
          <w:shd w:val="clear" w:color="auto" w:fill="auto"/>
          <w:lang w:eastAsia="zh-CN"/>
        </w:rPr>
      </w:pPr>
    </w:p>
    <w:p w14:paraId="034D5318">
      <w:pPr>
        <w:tabs>
          <w:tab w:val="left" w:pos="6300"/>
        </w:tabs>
        <w:snapToGrid w:val="0"/>
        <w:spacing w:line="500" w:lineRule="exact"/>
        <w:ind w:firstLine="560" w:firstLineChars="200"/>
        <w:jc w:val="right"/>
        <w:rPr>
          <w:rFonts w:hint="eastAsia" w:ascii="宋体" w:hAnsi="宋体" w:eastAsia="宋体" w:cs="宋体"/>
          <w:color w:val="000000"/>
          <w:sz w:val="28"/>
          <w:szCs w:val="20"/>
          <w:shd w:val="clear" w:color="auto" w:fill="auto"/>
          <w:lang w:eastAsia="zh-CN"/>
        </w:rPr>
      </w:pPr>
    </w:p>
    <w:p w14:paraId="4B7FCDBD">
      <w:pPr>
        <w:tabs>
          <w:tab w:val="left" w:pos="6300"/>
        </w:tabs>
        <w:snapToGrid w:val="0"/>
        <w:spacing w:line="500" w:lineRule="exact"/>
        <w:ind w:firstLine="560" w:firstLineChars="200"/>
        <w:jc w:val="right"/>
        <w:rPr>
          <w:rFonts w:hint="eastAsia" w:ascii="宋体" w:hAnsi="宋体" w:eastAsia="宋体" w:cs="宋体"/>
          <w:color w:val="000000"/>
          <w:sz w:val="28"/>
          <w:szCs w:val="20"/>
          <w:shd w:val="clear" w:color="auto" w:fill="auto"/>
          <w:lang w:eastAsia="zh-CN"/>
        </w:rPr>
      </w:pPr>
    </w:p>
    <w:p w14:paraId="0AEC46B2">
      <w:pPr>
        <w:tabs>
          <w:tab w:val="left" w:pos="6300"/>
        </w:tabs>
        <w:snapToGrid w:val="0"/>
        <w:spacing w:line="500" w:lineRule="exact"/>
        <w:ind w:firstLine="560" w:firstLineChars="200"/>
        <w:jc w:val="right"/>
        <w:rPr>
          <w:rFonts w:hint="eastAsia" w:ascii="宋体" w:hAnsi="宋体" w:eastAsia="宋体" w:cs="宋体"/>
          <w:color w:val="000000"/>
          <w:sz w:val="28"/>
          <w:szCs w:val="20"/>
          <w:shd w:val="clear" w:color="auto" w:fill="auto"/>
          <w:lang w:eastAsia="zh-CN"/>
        </w:rPr>
      </w:pPr>
    </w:p>
    <w:p w14:paraId="645664DF">
      <w:pPr>
        <w:tabs>
          <w:tab w:val="left" w:pos="6300"/>
        </w:tabs>
        <w:snapToGrid w:val="0"/>
        <w:spacing w:line="500" w:lineRule="exact"/>
        <w:jc w:val="both"/>
        <w:rPr>
          <w:rFonts w:hint="eastAsia" w:ascii="宋体" w:hAnsi="宋体" w:eastAsia="宋体" w:cs="宋体"/>
          <w:color w:val="000000"/>
          <w:sz w:val="28"/>
          <w:szCs w:val="20"/>
          <w:shd w:val="clear" w:color="auto" w:fill="auto"/>
          <w:lang w:eastAsia="zh-CN"/>
        </w:rPr>
      </w:pPr>
    </w:p>
    <w:p w14:paraId="02997B27">
      <w:pPr>
        <w:tabs>
          <w:tab w:val="left" w:pos="6300"/>
        </w:tabs>
        <w:snapToGrid w:val="0"/>
        <w:spacing w:line="500" w:lineRule="exact"/>
        <w:ind w:firstLine="4760" w:firstLineChars="1700"/>
        <w:jc w:val="both"/>
        <w:rPr>
          <w:rFonts w:hint="eastAsia" w:ascii="宋体" w:hAnsi="宋体" w:eastAsia="宋体" w:cs="宋体"/>
          <w:color w:val="000000"/>
          <w:sz w:val="28"/>
          <w:szCs w:val="20"/>
          <w:shd w:val="clear" w:color="auto" w:fill="auto"/>
          <w:lang w:eastAsia="zh-CN"/>
        </w:rPr>
      </w:pPr>
      <w:r>
        <w:rPr>
          <w:rFonts w:hint="eastAsia" w:ascii="宋体" w:hAnsi="宋体" w:eastAsia="宋体" w:cs="宋体"/>
          <w:color w:val="000000"/>
          <w:sz w:val="28"/>
          <w:szCs w:val="20"/>
          <w:shd w:val="clear" w:color="auto" w:fill="auto"/>
          <w:lang w:eastAsia="zh-CN"/>
        </w:rPr>
        <w:t>（供应商公章）</w:t>
      </w:r>
    </w:p>
    <w:p w14:paraId="1A19D2C0">
      <w:pPr>
        <w:tabs>
          <w:tab w:val="left" w:pos="6300"/>
        </w:tabs>
        <w:snapToGrid w:val="0"/>
        <w:spacing w:line="500" w:lineRule="exact"/>
        <w:ind w:firstLine="5040" w:firstLineChars="1800"/>
        <w:jc w:val="both"/>
        <w:rPr>
          <w:rFonts w:hint="eastAsia" w:ascii="宋体" w:hAnsi="宋体" w:eastAsia="宋体" w:cs="宋体"/>
          <w:color w:val="000000"/>
        </w:rPr>
        <w:sectPr>
          <w:pgSz w:w="11907" w:h="16840"/>
          <w:pgMar w:top="1134" w:right="1191" w:bottom="1134" w:left="1304" w:header="851" w:footer="992" w:gutter="0"/>
          <w:pgNumType w:fmt="numberInDash"/>
          <w:cols w:space="720" w:num="1"/>
          <w:docGrid w:linePitch="380" w:charSpace="-5735"/>
        </w:sectPr>
      </w:pPr>
      <w:r>
        <w:rPr>
          <w:rFonts w:hint="eastAsia" w:ascii="宋体" w:hAnsi="宋体" w:eastAsia="宋体" w:cs="宋体"/>
          <w:color w:val="000000"/>
          <w:sz w:val="28"/>
          <w:szCs w:val="20"/>
          <w:shd w:val="clear" w:color="auto" w:fill="auto"/>
          <w:lang w:eastAsia="zh-CN"/>
        </w:rPr>
        <w:t>年   月   日</w:t>
      </w:r>
      <w:bookmarkEnd w:id="186"/>
      <w:bookmarkEnd w:id="187"/>
    </w:p>
    <w:p w14:paraId="7806398A">
      <w:pPr>
        <w:widowControl/>
        <w:spacing w:line="400" w:lineRule="exact"/>
        <w:outlineLvl w:val="9"/>
        <w:rPr>
          <w:rFonts w:hint="eastAsia" w:ascii="宋体" w:hAnsi="宋体" w:eastAsia="宋体" w:cs="宋体"/>
          <w:color w:val="000000"/>
          <w:szCs w:val="28"/>
        </w:rPr>
      </w:pPr>
      <w:bookmarkStart w:id="188" w:name="_Toc18495"/>
      <w:bookmarkStart w:id="189" w:name="_Toc31766"/>
      <w:bookmarkStart w:id="190" w:name="_Toc1610"/>
      <w:r>
        <w:rPr>
          <w:rFonts w:hint="eastAsia" w:ascii="宋体" w:hAnsi="宋体" w:eastAsia="宋体" w:cs="宋体"/>
          <w:color w:val="000000"/>
          <w:szCs w:val="28"/>
        </w:rPr>
        <w:t>（</w:t>
      </w:r>
      <w:r>
        <w:rPr>
          <w:rFonts w:hint="eastAsia" w:ascii="宋体" w:hAnsi="宋体" w:eastAsia="宋体" w:cs="宋体"/>
          <w:color w:val="000000"/>
          <w:szCs w:val="28"/>
          <w:lang w:eastAsia="zh-CN"/>
        </w:rPr>
        <w:t>六</w:t>
      </w:r>
      <w:r>
        <w:rPr>
          <w:rFonts w:hint="eastAsia" w:ascii="宋体" w:hAnsi="宋体" w:eastAsia="宋体" w:cs="宋体"/>
          <w:color w:val="000000"/>
          <w:szCs w:val="28"/>
        </w:rPr>
        <w:t>）特定资格条件证书或证明文件（如果有）</w:t>
      </w:r>
      <w:bookmarkEnd w:id="188"/>
      <w:bookmarkEnd w:id="189"/>
      <w:bookmarkEnd w:id="190"/>
    </w:p>
    <w:p w14:paraId="3CD9A47E">
      <w:pPr>
        <w:rPr>
          <w:rFonts w:hint="eastAsia" w:ascii="宋体" w:hAnsi="宋体" w:eastAsia="宋体" w:cs="宋体"/>
          <w:color w:val="000000"/>
        </w:rPr>
      </w:pPr>
    </w:p>
    <w:p w14:paraId="09C254AD">
      <w:pPr>
        <w:rPr>
          <w:rFonts w:hint="eastAsia" w:ascii="宋体" w:hAnsi="宋体" w:eastAsia="宋体" w:cs="宋体"/>
          <w:color w:val="000000"/>
        </w:rPr>
      </w:pPr>
    </w:p>
    <w:p w14:paraId="21DB329D">
      <w:pPr>
        <w:rPr>
          <w:rFonts w:hint="eastAsia" w:ascii="宋体" w:hAnsi="宋体" w:eastAsia="宋体" w:cs="宋体"/>
          <w:color w:val="000000"/>
        </w:rPr>
      </w:pPr>
    </w:p>
    <w:p w14:paraId="0E993472">
      <w:pPr>
        <w:rPr>
          <w:rFonts w:hint="eastAsia" w:ascii="宋体" w:hAnsi="宋体" w:eastAsia="宋体" w:cs="宋体"/>
          <w:color w:val="000000"/>
        </w:rPr>
      </w:pPr>
    </w:p>
    <w:p w14:paraId="478A7E7A">
      <w:pPr>
        <w:rPr>
          <w:rFonts w:hint="eastAsia" w:ascii="宋体" w:hAnsi="宋体" w:eastAsia="宋体" w:cs="宋体"/>
          <w:color w:val="000000"/>
        </w:rPr>
      </w:pPr>
    </w:p>
    <w:p w14:paraId="0C55E2D5">
      <w:pPr>
        <w:rPr>
          <w:rFonts w:hint="eastAsia" w:ascii="宋体" w:hAnsi="宋体" w:eastAsia="宋体" w:cs="宋体"/>
          <w:color w:val="000000"/>
        </w:rPr>
      </w:pPr>
    </w:p>
    <w:p w14:paraId="3AE2DBC4">
      <w:pPr>
        <w:rPr>
          <w:rFonts w:hint="eastAsia" w:ascii="宋体" w:hAnsi="宋体" w:eastAsia="宋体" w:cs="宋体"/>
          <w:color w:val="000000"/>
        </w:rPr>
      </w:pPr>
    </w:p>
    <w:p w14:paraId="46BBEB4E">
      <w:pPr>
        <w:rPr>
          <w:rFonts w:hint="eastAsia" w:ascii="宋体" w:hAnsi="宋体" w:eastAsia="宋体" w:cs="宋体"/>
          <w:color w:val="000000"/>
        </w:rPr>
      </w:pPr>
    </w:p>
    <w:p w14:paraId="512FE683">
      <w:pPr>
        <w:rPr>
          <w:rFonts w:hint="eastAsia" w:ascii="宋体" w:hAnsi="宋体" w:eastAsia="宋体" w:cs="宋体"/>
          <w:color w:val="000000"/>
        </w:rPr>
      </w:pPr>
    </w:p>
    <w:p w14:paraId="7D3AF517">
      <w:pPr>
        <w:rPr>
          <w:rFonts w:hint="eastAsia" w:ascii="宋体" w:hAnsi="宋体" w:eastAsia="宋体" w:cs="宋体"/>
          <w:color w:val="000000"/>
        </w:rPr>
      </w:pPr>
    </w:p>
    <w:p w14:paraId="06089383">
      <w:pPr>
        <w:rPr>
          <w:rFonts w:hint="eastAsia" w:ascii="宋体" w:hAnsi="宋体" w:eastAsia="宋体" w:cs="宋体"/>
          <w:color w:val="000000"/>
        </w:rPr>
      </w:pPr>
    </w:p>
    <w:p w14:paraId="7FBD45D2">
      <w:pPr>
        <w:rPr>
          <w:rFonts w:hint="eastAsia" w:ascii="宋体" w:hAnsi="宋体" w:eastAsia="宋体" w:cs="宋体"/>
          <w:color w:val="000000"/>
        </w:rPr>
      </w:pPr>
    </w:p>
    <w:p w14:paraId="7F609EFC">
      <w:pPr>
        <w:rPr>
          <w:rFonts w:hint="eastAsia" w:ascii="宋体" w:hAnsi="宋体" w:eastAsia="宋体" w:cs="宋体"/>
          <w:color w:val="000000"/>
        </w:rPr>
      </w:pPr>
    </w:p>
    <w:p w14:paraId="0057CBCF">
      <w:pPr>
        <w:rPr>
          <w:rFonts w:hint="eastAsia" w:ascii="宋体" w:hAnsi="宋体" w:eastAsia="宋体" w:cs="宋体"/>
          <w:color w:val="000000"/>
        </w:rPr>
      </w:pPr>
    </w:p>
    <w:p w14:paraId="65976175">
      <w:pPr>
        <w:rPr>
          <w:rFonts w:hint="eastAsia" w:ascii="宋体" w:hAnsi="宋体" w:eastAsia="宋体" w:cs="宋体"/>
          <w:color w:val="000000"/>
        </w:rPr>
      </w:pPr>
    </w:p>
    <w:p w14:paraId="52F818BD">
      <w:pPr>
        <w:rPr>
          <w:rFonts w:hint="eastAsia" w:ascii="宋体" w:hAnsi="宋体" w:eastAsia="宋体" w:cs="宋体"/>
          <w:color w:val="000000"/>
        </w:rPr>
      </w:pPr>
    </w:p>
    <w:p w14:paraId="3A0DE581">
      <w:pPr>
        <w:rPr>
          <w:rFonts w:hint="eastAsia" w:ascii="宋体" w:hAnsi="宋体" w:eastAsia="宋体" w:cs="宋体"/>
          <w:color w:val="000000"/>
        </w:rPr>
      </w:pPr>
    </w:p>
    <w:p w14:paraId="5449E9D3">
      <w:pPr>
        <w:rPr>
          <w:rFonts w:hint="eastAsia" w:ascii="宋体" w:hAnsi="宋体" w:eastAsia="宋体" w:cs="宋体"/>
          <w:color w:val="000000"/>
        </w:rPr>
      </w:pPr>
    </w:p>
    <w:p w14:paraId="0D89E2AC">
      <w:pPr>
        <w:rPr>
          <w:rFonts w:hint="eastAsia" w:ascii="宋体" w:hAnsi="宋体" w:eastAsia="宋体" w:cs="宋体"/>
          <w:color w:val="000000"/>
        </w:rPr>
      </w:pPr>
    </w:p>
    <w:p w14:paraId="6F804183">
      <w:pPr>
        <w:rPr>
          <w:rFonts w:hint="eastAsia" w:ascii="宋体" w:hAnsi="宋体" w:eastAsia="宋体" w:cs="宋体"/>
          <w:color w:val="000000"/>
        </w:rPr>
      </w:pPr>
    </w:p>
    <w:p w14:paraId="53FCA3E0">
      <w:pPr>
        <w:rPr>
          <w:rFonts w:hint="eastAsia" w:ascii="宋体" w:hAnsi="宋体" w:eastAsia="宋体" w:cs="宋体"/>
          <w:color w:val="000000"/>
        </w:rPr>
      </w:pPr>
    </w:p>
    <w:p w14:paraId="51B91983">
      <w:pPr>
        <w:rPr>
          <w:rFonts w:hint="eastAsia" w:ascii="宋体" w:hAnsi="宋体" w:eastAsia="宋体" w:cs="宋体"/>
          <w:color w:val="000000"/>
        </w:rPr>
      </w:pPr>
    </w:p>
    <w:p w14:paraId="5FB38BF3">
      <w:pPr>
        <w:rPr>
          <w:rFonts w:hint="eastAsia" w:ascii="宋体" w:hAnsi="宋体" w:eastAsia="宋体" w:cs="宋体"/>
          <w:color w:val="000000"/>
        </w:rPr>
      </w:pPr>
    </w:p>
    <w:p w14:paraId="382F03C1">
      <w:pPr>
        <w:rPr>
          <w:rFonts w:hint="eastAsia" w:ascii="宋体" w:hAnsi="宋体" w:eastAsia="宋体" w:cs="宋体"/>
          <w:color w:val="000000"/>
        </w:rPr>
      </w:pPr>
    </w:p>
    <w:p w14:paraId="247B3D5C">
      <w:pPr>
        <w:rPr>
          <w:rFonts w:hint="eastAsia" w:ascii="宋体" w:hAnsi="宋体" w:eastAsia="宋体" w:cs="宋体"/>
          <w:color w:val="000000"/>
        </w:rPr>
      </w:pPr>
    </w:p>
    <w:p w14:paraId="247C111D">
      <w:pPr>
        <w:rPr>
          <w:rFonts w:hint="eastAsia" w:ascii="宋体" w:hAnsi="宋体" w:eastAsia="宋体" w:cs="宋体"/>
          <w:color w:val="000000"/>
        </w:rPr>
      </w:pPr>
    </w:p>
    <w:p w14:paraId="36A1F420">
      <w:pPr>
        <w:rPr>
          <w:rFonts w:hint="eastAsia" w:ascii="宋体" w:hAnsi="宋体" w:eastAsia="宋体" w:cs="宋体"/>
          <w:color w:val="000000"/>
        </w:rPr>
      </w:pPr>
    </w:p>
    <w:p w14:paraId="3C1009EF">
      <w:pPr>
        <w:rPr>
          <w:rFonts w:hint="eastAsia" w:ascii="宋体" w:hAnsi="宋体" w:eastAsia="宋体" w:cs="宋体"/>
          <w:color w:val="000000"/>
        </w:rPr>
      </w:pPr>
    </w:p>
    <w:p w14:paraId="1E077BFA">
      <w:pPr>
        <w:rPr>
          <w:rFonts w:hint="eastAsia" w:ascii="宋体" w:hAnsi="宋体" w:eastAsia="宋体" w:cs="宋体"/>
          <w:color w:val="000000"/>
        </w:rPr>
      </w:pPr>
    </w:p>
    <w:p w14:paraId="6E5DC289">
      <w:pPr>
        <w:rPr>
          <w:rFonts w:hint="eastAsia" w:ascii="宋体" w:hAnsi="宋体" w:eastAsia="宋体" w:cs="宋体"/>
          <w:color w:val="000000"/>
        </w:rPr>
      </w:pPr>
    </w:p>
    <w:p w14:paraId="0FB64984">
      <w:pPr>
        <w:rPr>
          <w:rFonts w:hint="eastAsia" w:ascii="宋体" w:hAnsi="宋体" w:eastAsia="宋体" w:cs="宋体"/>
          <w:color w:val="000000"/>
        </w:rPr>
      </w:pPr>
    </w:p>
    <w:p w14:paraId="3C8C32B6">
      <w:pPr>
        <w:rPr>
          <w:rFonts w:hint="eastAsia" w:ascii="宋体" w:hAnsi="宋体" w:eastAsia="宋体" w:cs="宋体"/>
          <w:color w:val="000000"/>
        </w:rPr>
      </w:pPr>
    </w:p>
    <w:p w14:paraId="74BE81C6">
      <w:pPr>
        <w:rPr>
          <w:rFonts w:hint="eastAsia" w:ascii="宋体" w:hAnsi="宋体" w:eastAsia="宋体" w:cs="宋体"/>
          <w:color w:val="000000"/>
        </w:rPr>
      </w:pPr>
    </w:p>
    <w:p w14:paraId="2956E9E8">
      <w:pPr>
        <w:rPr>
          <w:rFonts w:hint="eastAsia" w:ascii="宋体" w:hAnsi="宋体" w:eastAsia="宋体" w:cs="宋体"/>
          <w:color w:val="000000"/>
        </w:rPr>
      </w:pPr>
    </w:p>
    <w:p w14:paraId="28837282">
      <w:pPr>
        <w:rPr>
          <w:rFonts w:hint="eastAsia" w:ascii="宋体" w:hAnsi="宋体" w:eastAsia="宋体" w:cs="宋体"/>
          <w:color w:val="000000"/>
        </w:rPr>
      </w:pPr>
    </w:p>
    <w:p w14:paraId="04C24427">
      <w:pPr>
        <w:rPr>
          <w:rFonts w:hint="eastAsia" w:ascii="宋体" w:hAnsi="宋体" w:eastAsia="宋体" w:cs="宋体"/>
          <w:color w:val="000000"/>
        </w:rPr>
      </w:pPr>
    </w:p>
    <w:p w14:paraId="20FFD703">
      <w:pPr>
        <w:rPr>
          <w:rFonts w:hint="eastAsia" w:ascii="宋体" w:hAnsi="宋体" w:eastAsia="宋体" w:cs="宋体"/>
          <w:color w:val="000000"/>
          <w:szCs w:val="28"/>
        </w:rPr>
        <w:sectPr>
          <w:pgSz w:w="11907" w:h="16840"/>
          <w:pgMar w:top="1134" w:right="1191" w:bottom="1134" w:left="1304" w:header="851" w:footer="992" w:gutter="0"/>
          <w:pgNumType w:fmt="numberInDash"/>
          <w:cols w:space="720" w:num="1"/>
          <w:docGrid w:linePitch="380" w:charSpace="-5735"/>
        </w:sectPr>
      </w:pPr>
    </w:p>
    <w:p w14:paraId="2A867B7D">
      <w:pPr>
        <w:outlineLvl w:val="9"/>
        <w:rPr>
          <w:rFonts w:hint="eastAsia" w:ascii="宋体" w:hAnsi="宋体" w:eastAsia="宋体" w:cs="宋体"/>
          <w:color w:val="000000"/>
        </w:rPr>
      </w:pPr>
      <w:bookmarkStart w:id="191" w:name="_Toc8957"/>
      <w:bookmarkStart w:id="192" w:name="_Toc22191"/>
      <w:bookmarkStart w:id="193" w:name="_Toc3078"/>
      <w:r>
        <w:rPr>
          <w:rFonts w:hint="eastAsia" w:ascii="宋体" w:hAnsi="宋体" w:eastAsia="宋体" w:cs="宋体"/>
          <w:color w:val="000000"/>
          <w:szCs w:val="28"/>
        </w:rPr>
        <w:t>信用中国--</w:t>
      </w:r>
      <w:bookmarkEnd w:id="191"/>
      <w:r>
        <w:rPr>
          <w:rFonts w:hint="eastAsia" w:ascii="宋体" w:hAnsi="宋体" w:eastAsia="宋体" w:cs="宋体"/>
          <w:color w:val="000000"/>
          <w:szCs w:val="28"/>
          <w:lang w:eastAsia="zh-CN"/>
        </w:rPr>
        <w:t>经营异常名录信息</w:t>
      </w:r>
      <w:bookmarkEnd w:id="192"/>
      <w:bookmarkEnd w:id="193"/>
    </w:p>
    <w:p w14:paraId="50475BB7">
      <w:pPr>
        <w:rPr>
          <w:rFonts w:hint="eastAsia" w:ascii="宋体" w:hAnsi="宋体" w:eastAsia="宋体" w:cs="宋体"/>
          <w:color w:val="000000"/>
        </w:rPr>
      </w:pPr>
      <w:r>
        <w:rPr>
          <w:rFonts w:hint="eastAsia" w:ascii="宋体" w:hAnsi="宋体" w:eastAsia="宋体" w:cs="宋体"/>
          <w:color w:val="000000"/>
        </w:rPr>
        <w:drawing>
          <wp:inline distT="0" distB="0" distL="114300" distR="114300">
            <wp:extent cx="6417310" cy="2905760"/>
            <wp:effectExtent l="0" t="0" r="2540" b="889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17"/>
                    <a:stretch>
                      <a:fillRect/>
                    </a:stretch>
                  </pic:blipFill>
                  <pic:spPr>
                    <a:xfrm>
                      <a:off x="0" y="0"/>
                      <a:ext cx="6417310" cy="2905760"/>
                    </a:xfrm>
                    <a:prstGeom prst="rect">
                      <a:avLst/>
                    </a:prstGeom>
                    <a:noFill/>
                    <a:ln>
                      <a:noFill/>
                    </a:ln>
                  </pic:spPr>
                </pic:pic>
              </a:graphicData>
            </a:graphic>
          </wp:inline>
        </w:drawing>
      </w:r>
    </w:p>
    <w:p w14:paraId="11F4574E">
      <w:pPr>
        <w:rPr>
          <w:rFonts w:hint="eastAsia" w:ascii="宋体" w:hAnsi="宋体" w:eastAsia="宋体" w:cs="宋体"/>
          <w:color w:val="000000"/>
        </w:rPr>
      </w:pPr>
    </w:p>
    <w:p w14:paraId="74439EA8">
      <w:pPr>
        <w:rPr>
          <w:rFonts w:hint="eastAsia" w:ascii="宋体" w:hAnsi="宋体" w:eastAsia="宋体" w:cs="宋体"/>
          <w:color w:val="000000"/>
        </w:rPr>
      </w:pPr>
    </w:p>
    <w:p w14:paraId="12512F4D">
      <w:pPr>
        <w:rPr>
          <w:rFonts w:hint="eastAsia" w:ascii="宋体" w:hAnsi="宋体" w:eastAsia="宋体" w:cs="宋体"/>
          <w:color w:val="000000"/>
        </w:rPr>
      </w:pPr>
    </w:p>
    <w:p w14:paraId="31F6077B">
      <w:pPr>
        <w:rPr>
          <w:rFonts w:hint="eastAsia" w:ascii="宋体" w:hAnsi="宋体" w:eastAsia="宋体" w:cs="宋体"/>
          <w:color w:val="000000"/>
        </w:rPr>
      </w:pPr>
    </w:p>
    <w:p w14:paraId="6D4AFC8C">
      <w:pPr>
        <w:rPr>
          <w:rFonts w:hint="eastAsia" w:ascii="宋体" w:hAnsi="宋体" w:eastAsia="宋体" w:cs="宋体"/>
          <w:color w:val="000000"/>
        </w:rPr>
      </w:pPr>
    </w:p>
    <w:p w14:paraId="2E06BA99">
      <w:pPr>
        <w:rPr>
          <w:rFonts w:hint="eastAsia" w:ascii="宋体" w:hAnsi="宋体" w:eastAsia="宋体" w:cs="宋体"/>
          <w:color w:val="000000"/>
          <w:szCs w:val="28"/>
        </w:rPr>
      </w:pPr>
    </w:p>
    <w:p w14:paraId="1CAD6563">
      <w:pPr>
        <w:rPr>
          <w:rFonts w:hint="eastAsia" w:ascii="宋体" w:hAnsi="宋体" w:eastAsia="宋体" w:cs="宋体"/>
          <w:color w:val="000000"/>
          <w:szCs w:val="28"/>
        </w:rPr>
        <w:sectPr>
          <w:pgSz w:w="11907" w:h="16840"/>
          <w:pgMar w:top="1134" w:right="1191" w:bottom="1134" w:left="1304" w:header="851" w:footer="992" w:gutter="0"/>
          <w:pgNumType w:fmt="numberInDash"/>
          <w:cols w:space="720" w:num="1"/>
          <w:docGrid w:linePitch="380" w:charSpace="-5735"/>
        </w:sectPr>
      </w:pPr>
    </w:p>
    <w:p w14:paraId="04B20B93">
      <w:pPr>
        <w:outlineLvl w:val="9"/>
        <w:rPr>
          <w:rFonts w:hint="eastAsia" w:ascii="宋体" w:hAnsi="宋体" w:eastAsia="宋体" w:cs="宋体"/>
          <w:color w:val="000000"/>
        </w:rPr>
      </w:pPr>
      <w:bookmarkStart w:id="194" w:name="_Toc31805"/>
      <w:bookmarkStart w:id="195" w:name="_Toc29192"/>
      <w:bookmarkStart w:id="196" w:name="_Toc4889"/>
      <w:r>
        <w:rPr>
          <w:rFonts w:hint="eastAsia" w:ascii="宋体" w:hAnsi="宋体" w:eastAsia="宋体" w:cs="宋体"/>
          <w:color w:val="000000"/>
          <w:szCs w:val="28"/>
        </w:rPr>
        <w:t>信用中国--</w:t>
      </w:r>
      <w:r>
        <w:rPr>
          <w:rFonts w:hint="eastAsia" w:ascii="宋体" w:hAnsi="宋体" w:eastAsia="宋体" w:cs="宋体"/>
          <w:color w:val="000000"/>
          <w:szCs w:val="28"/>
          <w:lang w:eastAsia="zh-CN"/>
        </w:rPr>
        <w:t>严重</w:t>
      </w:r>
      <w:r>
        <w:rPr>
          <w:rFonts w:hint="eastAsia" w:ascii="宋体" w:hAnsi="宋体" w:eastAsia="宋体" w:cs="宋体"/>
          <w:color w:val="000000"/>
          <w:szCs w:val="28"/>
        </w:rPr>
        <w:t>失信</w:t>
      </w:r>
      <w:bookmarkEnd w:id="194"/>
      <w:r>
        <w:rPr>
          <w:rFonts w:hint="eastAsia" w:ascii="宋体" w:hAnsi="宋体" w:eastAsia="宋体" w:cs="宋体"/>
          <w:color w:val="000000"/>
          <w:szCs w:val="28"/>
          <w:lang w:eastAsia="zh-CN"/>
        </w:rPr>
        <w:t>主体</w:t>
      </w:r>
      <w:bookmarkEnd w:id="195"/>
      <w:bookmarkEnd w:id="196"/>
    </w:p>
    <w:p w14:paraId="3021EDBC">
      <w:pPr>
        <w:rPr>
          <w:rFonts w:hint="eastAsia" w:ascii="宋体" w:hAnsi="宋体" w:eastAsia="宋体" w:cs="宋体"/>
          <w:color w:val="000000"/>
        </w:rPr>
      </w:pPr>
      <w:r>
        <w:rPr>
          <w:rFonts w:hint="eastAsia" w:ascii="宋体" w:hAnsi="宋体" w:eastAsia="宋体" w:cs="宋体"/>
          <w:color w:val="000000"/>
        </w:rPr>
        <w:drawing>
          <wp:inline distT="0" distB="0" distL="114300" distR="114300">
            <wp:extent cx="5970270" cy="3140075"/>
            <wp:effectExtent l="0" t="0" r="11430" b="3175"/>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18"/>
                    <a:stretch>
                      <a:fillRect/>
                    </a:stretch>
                  </pic:blipFill>
                  <pic:spPr>
                    <a:xfrm>
                      <a:off x="0" y="0"/>
                      <a:ext cx="5970270" cy="3140075"/>
                    </a:xfrm>
                    <a:prstGeom prst="rect">
                      <a:avLst/>
                    </a:prstGeom>
                    <a:noFill/>
                    <a:ln>
                      <a:noFill/>
                    </a:ln>
                  </pic:spPr>
                </pic:pic>
              </a:graphicData>
            </a:graphic>
          </wp:inline>
        </w:drawing>
      </w:r>
    </w:p>
    <w:p w14:paraId="7EE229B8">
      <w:pPr>
        <w:rPr>
          <w:rFonts w:hint="eastAsia" w:ascii="宋体" w:hAnsi="宋体" w:eastAsia="宋体" w:cs="宋体"/>
          <w:color w:val="000000"/>
        </w:rPr>
      </w:pPr>
    </w:p>
    <w:p w14:paraId="000A44D1">
      <w:pPr>
        <w:rPr>
          <w:rFonts w:hint="eastAsia" w:ascii="宋体" w:hAnsi="宋体" w:eastAsia="宋体" w:cs="宋体"/>
          <w:color w:val="000000"/>
        </w:rPr>
      </w:pPr>
    </w:p>
    <w:p w14:paraId="18B0722F">
      <w:pPr>
        <w:rPr>
          <w:rFonts w:hint="eastAsia" w:ascii="宋体" w:hAnsi="宋体" w:eastAsia="宋体" w:cs="宋体"/>
          <w:color w:val="000000"/>
        </w:rPr>
      </w:pPr>
    </w:p>
    <w:p w14:paraId="4384692B">
      <w:pPr>
        <w:rPr>
          <w:rFonts w:hint="eastAsia" w:ascii="宋体" w:hAnsi="宋体" w:eastAsia="宋体" w:cs="宋体"/>
          <w:color w:val="000000"/>
        </w:rPr>
      </w:pPr>
    </w:p>
    <w:p w14:paraId="41FB985B">
      <w:pPr>
        <w:rPr>
          <w:rFonts w:hint="eastAsia" w:ascii="宋体" w:hAnsi="宋体" w:eastAsia="宋体" w:cs="宋体"/>
          <w:color w:val="000000"/>
          <w:szCs w:val="28"/>
        </w:rPr>
      </w:pPr>
    </w:p>
    <w:p w14:paraId="0A95FEAE">
      <w:pPr>
        <w:rPr>
          <w:rFonts w:hint="eastAsia" w:ascii="宋体" w:hAnsi="宋体" w:eastAsia="宋体" w:cs="宋体"/>
          <w:color w:val="000000"/>
          <w:szCs w:val="28"/>
        </w:rPr>
        <w:sectPr>
          <w:pgSz w:w="11907" w:h="16840"/>
          <w:pgMar w:top="1134" w:right="1191" w:bottom="1134" w:left="1304" w:header="851" w:footer="992" w:gutter="0"/>
          <w:pgNumType w:fmt="numberInDash"/>
          <w:cols w:space="720" w:num="1"/>
          <w:docGrid w:linePitch="380" w:charSpace="-5735"/>
        </w:sectPr>
      </w:pPr>
    </w:p>
    <w:p w14:paraId="7FEC8088">
      <w:pPr>
        <w:outlineLvl w:val="9"/>
        <w:rPr>
          <w:rFonts w:hint="eastAsia" w:ascii="宋体" w:hAnsi="宋体" w:eastAsia="宋体" w:cs="宋体"/>
          <w:color w:val="000000"/>
        </w:rPr>
      </w:pPr>
      <w:bookmarkStart w:id="197" w:name="_Toc11682"/>
      <w:bookmarkStart w:id="198" w:name="_Toc10564"/>
      <w:bookmarkStart w:id="199" w:name="_Toc5908"/>
      <w:r>
        <w:rPr>
          <w:rFonts w:hint="eastAsia" w:ascii="宋体" w:hAnsi="宋体" w:eastAsia="宋体" w:cs="宋体"/>
          <w:color w:val="000000"/>
          <w:szCs w:val="28"/>
        </w:rPr>
        <w:t>信用中国--重大税收违法</w:t>
      </w:r>
      <w:bookmarkEnd w:id="197"/>
      <w:r>
        <w:rPr>
          <w:rFonts w:hint="eastAsia" w:ascii="宋体" w:hAnsi="宋体" w:eastAsia="宋体" w:cs="宋体"/>
          <w:color w:val="000000"/>
          <w:szCs w:val="28"/>
          <w:lang w:eastAsia="zh-CN"/>
        </w:rPr>
        <w:t>失信主体</w:t>
      </w:r>
      <w:bookmarkEnd w:id="198"/>
      <w:bookmarkEnd w:id="199"/>
    </w:p>
    <w:p w14:paraId="1E260902">
      <w:pPr>
        <w:rPr>
          <w:rFonts w:hint="eastAsia" w:ascii="宋体" w:hAnsi="宋体" w:eastAsia="宋体" w:cs="宋体"/>
          <w:color w:val="000000"/>
        </w:rPr>
      </w:pPr>
      <w:r>
        <w:rPr>
          <w:rFonts w:hint="eastAsia" w:ascii="宋体" w:hAnsi="宋体" w:eastAsia="宋体" w:cs="宋体"/>
          <w:color w:val="000000"/>
        </w:rPr>
        <w:drawing>
          <wp:inline distT="0" distB="0" distL="114300" distR="114300">
            <wp:extent cx="5970905" cy="3367405"/>
            <wp:effectExtent l="0" t="0" r="10795" b="444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9"/>
                    <a:stretch>
                      <a:fillRect/>
                    </a:stretch>
                  </pic:blipFill>
                  <pic:spPr>
                    <a:xfrm>
                      <a:off x="0" y="0"/>
                      <a:ext cx="5970905" cy="3367405"/>
                    </a:xfrm>
                    <a:prstGeom prst="rect">
                      <a:avLst/>
                    </a:prstGeom>
                    <a:noFill/>
                    <a:ln>
                      <a:noFill/>
                    </a:ln>
                  </pic:spPr>
                </pic:pic>
              </a:graphicData>
            </a:graphic>
          </wp:inline>
        </w:drawing>
      </w:r>
    </w:p>
    <w:p w14:paraId="505BCB00">
      <w:pPr>
        <w:rPr>
          <w:rFonts w:hint="eastAsia" w:ascii="宋体" w:hAnsi="宋体" w:eastAsia="宋体" w:cs="宋体"/>
          <w:color w:val="000000"/>
        </w:rPr>
      </w:pPr>
    </w:p>
    <w:p w14:paraId="730B1D63">
      <w:pPr>
        <w:rPr>
          <w:rFonts w:hint="eastAsia" w:ascii="宋体" w:hAnsi="宋体" w:eastAsia="宋体" w:cs="宋体"/>
          <w:color w:val="000000"/>
        </w:rPr>
      </w:pPr>
    </w:p>
    <w:p w14:paraId="3F432221">
      <w:pPr>
        <w:rPr>
          <w:rFonts w:hint="eastAsia" w:ascii="宋体" w:hAnsi="宋体" w:eastAsia="宋体" w:cs="宋体"/>
          <w:color w:val="000000"/>
        </w:rPr>
      </w:pPr>
    </w:p>
    <w:p w14:paraId="3CDD2645">
      <w:pPr>
        <w:rPr>
          <w:rFonts w:hint="eastAsia" w:ascii="宋体" w:hAnsi="宋体" w:eastAsia="宋体" w:cs="宋体"/>
          <w:color w:val="000000"/>
        </w:rPr>
      </w:pPr>
    </w:p>
    <w:p w14:paraId="0DE25E3E">
      <w:pPr>
        <w:rPr>
          <w:rFonts w:hint="eastAsia" w:ascii="宋体" w:hAnsi="宋体" w:eastAsia="宋体" w:cs="宋体"/>
          <w:color w:val="000000"/>
        </w:rPr>
      </w:pPr>
    </w:p>
    <w:p w14:paraId="7DDD68D6">
      <w:pPr>
        <w:rPr>
          <w:rFonts w:hint="eastAsia" w:ascii="宋体" w:hAnsi="宋体" w:eastAsia="宋体" w:cs="宋体"/>
          <w:color w:val="000000"/>
        </w:rPr>
      </w:pPr>
    </w:p>
    <w:p w14:paraId="5468F1B2">
      <w:pPr>
        <w:rPr>
          <w:rFonts w:hint="eastAsia" w:ascii="宋体" w:hAnsi="宋体" w:eastAsia="宋体" w:cs="宋体"/>
          <w:color w:val="000000"/>
        </w:rPr>
      </w:pPr>
    </w:p>
    <w:p w14:paraId="5CD288DD">
      <w:pPr>
        <w:rPr>
          <w:rFonts w:hint="eastAsia" w:ascii="宋体" w:hAnsi="宋体" w:eastAsia="宋体" w:cs="宋体"/>
          <w:color w:val="000000"/>
        </w:rPr>
      </w:pPr>
    </w:p>
    <w:p w14:paraId="5E5C66A7">
      <w:pPr>
        <w:rPr>
          <w:rFonts w:hint="eastAsia" w:ascii="宋体" w:hAnsi="宋体" w:eastAsia="宋体" w:cs="宋体"/>
          <w:color w:val="000000"/>
        </w:rPr>
      </w:pPr>
    </w:p>
    <w:p w14:paraId="671D7970">
      <w:pPr>
        <w:rPr>
          <w:rFonts w:hint="eastAsia" w:ascii="宋体" w:hAnsi="宋体" w:eastAsia="宋体" w:cs="宋体"/>
          <w:color w:val="000000"/>
        </w:rPr>
      </w:pPr>
    </w:p>
    <w:p w14:paraId="4D28C49C">
      <w:pPr>
        <w:rPr>
          <w:rFonts w:hint="eastAsia" w:ascii="宋体" w:hAnsi="宋体" w:eastAsia="宋体" w:cs="宋体"/>
          <w:color w:val="000000"/>
        </w:rPr>
      </w:pPr>
    </w:p>
    <w:p w14:paraId="0EC6A915">
      <w:pPr>
        <w:rPr>
          <w:rFonts w:hint="eastAsia" w:ascii="宋体" w:hAnsi="宋体" w:eastAsia="宋体" w:cs="宋体"/>
          <w:color w:val="000000"/>
        </w:rPr>
      </w:pPr>
    </w:p>
    <w:p w14:paraId="2A2C8C6C">
      <w:pPr>
        <w:rPr>
          <w:rFonts w:hint="eastAsia" w:ascii="宋体" w:hAnsi="宋体" w:eastAsia="宋体" w:cs="宋体"/>
          <w:color w:val="000000"/>
        </w:rPr>
      </w:pPr>
    </w:p>
    <w:p w14:paraId="128EDC4F">
      <w:pPr>
        <w:rPr>
          <w:rFonts w:hint="eastAsia" w:ascii="宋体" w:hAnsi="宋体" w:eastAsia="宋体" w:cs="宋体"/>
          <w:color w:val="000000"/>
        </w:rPr>
      </w:pPr>
    </w:p>
    <w:p w14:paraId="2409AF0D">
      <w:pPr>
        <w:rPr>
          <w:rFonts w:hint="eastAsia" w:ascii="宋体" w:hAnsi="宋体" w:eastAsia="宋体" w:cs="宋体"/>
          <w:color w:val="000000"/>
        </w:rPr>
      </w:pPr>
    </w:p>
    <w:p w14:paraId="45BCC059">
      <w:pPr>
        <w:rPr>
          <w:rFonts w:hint="eastAsia" w:ascii="宋体" w:hAnsi="宋体" w:eastAsia="宋体" w:cs="宋体"/>
          <w:color w:val="000000"/>
        </w:rPr>
      </w:pPr>
    </w:p>
    <w:p w14:paraId="4B329729">
      <w:pPr>
        <w:rPr>
          <w:rFonts w:hint="eastAsia" w:ascii="宋体" w:hAnsi="宋体" w:eastAsia="宋体" w:cs="宋体"/>
          <w:color w:val="000000"/>
        </w:rPr>
      </w:pPr>
    </w:p>
    <w:p w14:paraId="665AEA95">
      <w:pPr>
        <w:rPr>
          <w:rFonts w:hint="eastAsia" w:ascii="宋体" w:hAnsi="宋体" w:eastAsia="宋体" w:cs="宋体"/>
          <w:color w:val="000000"/>
        </w:rPr>
      </w:pPr>
    </w:p>
    <w:p w14:paraId="3F9A3286">
      <w:pPr>
        <w:rPr>
          <w:rFonts w:hint="eastAsia" w:ascii="宋体" w:hAnsi="宋体" w:eastAsia="宋体" w:cs="宋体"/>
          <w:color w:val="000000"/>
        </w:rPr>
      </w:pPr>
    </w:p>
    <w:p w14:paraId="2833B3F7">
      <w:pPr>
        <w:rPr>
          <w:rFonts w:hint="eastAsia" w:ascii="宋体" w:hAnsi="宋体" w:eastAsia="宋体" w:cs="宋体"/>
          <w:color w:val="000000"/>
          <w:szCs w:val="28"/>
        </w:rPr>
        <w:sectPr>
          <w:pgSz w:w="11907" w:h="16840"/>
          <w:pgMar w:top="1134" w:right="1191" w:bottom="1134" w:left="1304" w:header="851" w:footer="992" w:gutter="0"/>
          <w:pgNumType w:fmt="numberInDash"/>
          <w:cols w:space="720" w:num="1"/>
          <w:docGrid w:linePitch="380" w:charSpace="-5735"/>
        </w:sectPr>
      </w:pPr>
    </w:p>
    <w:p w14:paraId="7EE09D27">
      <w:pPr>
        <w:outlineLvl w:val="9"/>
        <w:rPr>
          <w:rFonts w:hint="eastAsia" w:ascii="宋体" w:hAnsi="宋体" w:eastAsia="宋体" w:cs="宋体"/>
          <w:color w:val="000000"/>
        </w:rPr>
      </w:pPr>
      <w:bookmarkStart w:id="200" w:name="_Toc20024"/>
      <w:bookmarkStart w:id="201" w:name="_Toc1960"/>
      <w:bookmarkStart w:id="202" w:name="_Toc16500"/>
      <w:r>
        <w:rPr>
          <w:rFonts w:hint="eastAsia" w:ascii="宋体" w:hAnsi="宋体" w:eastAsia="宋体" w:cs="宋体"/>
          <w:color w:val="000000"/>
          <w:szCs w:val="28"/>
        </w:rPr>
        <w:t>中国政府采购网--政府采购严重违法失信行为信息记录</w:t>
      </w:r>
      <w:bookmarkEnd w:id="200"/>
      <w:bookmarkEnd w:id="201"/>
      <w:bookmarkEnd w:id="202"/>
    </w:p>
    <w:p w14:paraId="0E35ADB3">
      <w:pPr>
        <w:rPr>
          <w:rFonts w:hint="eastAsia" w:ascii="宋体" w:hAnsi="宋体" w:eastAsia="宋体" w:cs="宋体"/>
          <w:color w:val="000000"/>
        </w:rPr>
      </w:pPr>
      <w:r>
        <w:rPr>
          <w:rFonts w:hint="eastAsia" w:ascii="宋体" w:hAnsi="宋体" w:eastAsia="宋体" w:cs="宋体"/>
          <w:color w:val="000000"/>
        </w:rPr>
        <w:drawing>
          <wp:inline distT="0" distB="0" distL="114300" distR="114300">
            <wp:extent cx="5971540" cy="3103245"/>
            <wp:effectExtent l="0" t="0" r="10160" b="190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20"/>
                    <a:stretch>
                      <a:fillRect/>
                    </a:stretch>
                  </pic:blipFill>
                  <pic:spPr>
                    <a:xfrm>
                      <a:off x="0" y="0"/>
                      <a:ext cx="5971540" cy="3103245"/>
                    </a:xfrm>
                    <a:prstGeom prst="rect">
                      <a:avLst/>
                    </a:prstGeom>
                    <a:noFill/>
                    <a:ln>
                      <a:noFill/>
                    </a:ln>
                  </pic:spPr>
                </pic:pic>
              </a:graphicData>
            </a:graphic>
          </wp:inline>
        </w:drawing>
      </w:r>
    </w:p>
    <w:p w14:paraId="711BE596">
      <w:pPr>
        <w:rPr>
          <w:rFonts w:hint="eastAsia" w:ascii="宋体" w:hAnsi="宋体" w:eastAsia="宋体" w:cs="宋体"/>
          <w:color w:val="000000"/>
        </w:rPr>
      </w:pPr>
    </w:p>
    <w:p w14:paraId="5B0295D4">
      <w:pPr>
        <w:rPr>
          <w:rFonts w:hint="eastAsia" w:ascii="宋体" w:hAnsi="宋体" w:eastAsia="宋体" w:cs="宋体"/>
          <w:color w:val="000000"/>
        </w:rPr>
      </w:pPr>
    </w:p>
    <w:p w14:paraId="1CBEF678">
      <w:pPr>
        <w:rPr>
          <w:rFonts w:hint="eastAsia" w:ascii="宋体" w:hAnsi="宋体" w:eastAsia="宋体" w:cs="宋体"/>
          <w:color w:val="000000"/>
        </w:rPr>
      </w:pPr>
    </w:p>
    <w:p w14:paraId="18AA77D1">
      <w:pPr>
        <w:rPr>
          <w:rFonts w:hint="eastAsia" w:ascii="宋体" w:hAnsi="宋体" w:eastAsia="宋体" w:cs="宋体"/>
          <w:color w:val="000000"/>
        </w:rPr>
      </w:pPr>
    </w:p>
    <w:p w14:paraId="0D6263D7">
      <w:pPr>
        <w:rPr>
          <w:rFonts w:hint="eastAsia" w:ascii="宋体" w:hAnsi="宋体" w:eastAsia="宋体" w:cs="宋体"/>
          <w:color w:val="000000"/>
        </w:rPr>
      </w:pPr>
    </w:p>
    <w:p w14:paraId="59164F14">
      <w:pPr>
        <w:rPr>
          <w:rFonts w:hint="eastAsia" w:ascii="宋体" w:hAnsi="宋体" w:eastAsia="宋体" w:cs="宋体"/>
          <w:color w:val="000000"/>
        </w:rPr>
      </w:pPr>
    </w:p>
    <w:p w14:paraId="4EB6E2C9">
      <w:pPr>
        <w:rPr>
          <w:rFonts w:hint="eastAsia" w:ascii="宋体" w:hAnsi="宋体" w:eastAsia="宋体" w:cs="宋体"/>
          <w:color w:val="000000"/>
        </w:rPr>
      </w:pPr>
    </w:p>
    <w:p w14:paraId="648414A6">
      <w:pPr>
        <w:rPr>
          <w:rFonts w:hint="eastAsia" w:ascii="宋体" w:hAnsi="宋体" w:eastAsia="宋体" w:cs="宋体"/>
          <w:color w:val="000000"/>
        </w:rPr>
      </w:pPr>
    </w:p>
    <w:p w14:paraId="250A0DAE">
      <w:pPr>
        <w:rPr>
          <w:color w:val="000000"/>
        </w:rPr>
      </w:pPr>
    </w:p>
    <w:p w14:paraId="1637A5F9">
      <w:pPr>
        <w:rPr>
          <w:color w:val="000000"/>
        </w:rPr>
      </w:pPr>
    </w:p>
    <w:p w14:paraId="191A6608">
      <w:pPr>
        <w:rPr>
          <w:color w:val="000000"/>
        </w:rPr>
      </w:pPr>
    </w:p>
    <w:p w14:paraId="312E9EF3">
      <w:pPr>
        <w:rPr>
          <w:color w:val="000000"/>
        </w:rPr>
      </w:pPr>
    </w:p>
    <w:p w14:paraId="16D93491">
      <w:pPr>
        <w:rPr>
          <w:color w:val="000000"/>
        </w:rPr>
      </w:pPr>
    </w:p>
    <w:p w14:paraId="724E7497">
      <w:pPr>
        <w:rPr>
          <w:color w:val="000000"/>
        </w:rPr>
      </w:pPr>
    </w:p>
    <w:p w14:paraId="498F7A4E">
      <w:pPr>
        <w:rPr>
          <w:color w:val="000000"/>
        </w:rPr>
      </w:pPr>
    </w:p>
    <w:p w14:paraId="5F0798F9">
      <w:pPr>
        <w:rPr>
          <w:color w:val="000000"/>
        </w:rPr>
      </w:pPr>
    </w:p>
    <w:p w14:paraId="2B07B3A0">
      <w:pPr>
        <w:rPr>
          <w:color w:val="000000"/>
        </w:rPr>
      </w:pPr>
    </w:p>
    <w:p w14:paraId="2C3C265E">
      <w:pPr>
        <w:rPr>
          <w:color w:val="000000"/>
        </w:rPr>
      </w:pPr>
    </w:p>
    <w:p w14:paraId="399C1993">
      <w:pPr>
        <w:rPr>
          <w:color w:val="000000"/>
        </w:rPr>
      </w:pPr>
    </w:p>
    <w:p w14:paraId="3A8DF347">
      <w:pPr>
        <w:rPr>
          <w:color w:val="000000"/>
        </w:rPr>
      </w:pPr>
    </w:p>
    <w:p w14:paraId="719D3A6A">
      <w:pPr>
        <w:rPr>
          <w:color w:val="000000"/>
        </w:rPr>
      </w:pPr>
    </w:p>
    <w:p w14:paraId="15B6988A">
      <w:pPr>
        <w:tabs>
          <w:tab w:val="left" w:pos="1939"/>
        </w:tabs>
        <w:bidi w:val="0"/>
        <w:jc w:val="left"/>
        <w:rPr>
          <w:rFonts w:hint="default"/>
          <w:color w:val="000000"/>
          <w:kern w:val="2"/>
          <w:sz w:val="28"/>
          <w:lang w:val="en-US" w:eastAsia="zh-CN" w:bidi="ar-SA"/>
        </w:rPr>
      </w:pPr>
    </w:p>
    <w:sectPr>
      <w:pgSz w:w="11907" w:h="16840"/>
      <w:pgMar w:top="1191"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20B0609010101010101"/>
    <w:charset w:val="86"/>
    <w:family w:val="modern"/>
    <w:pitch w:val="default"/>
    <w:sig w:usb0="00000000" w:usb1="00000000" w:usb2="00000010" w:usb3="00000000" w:csb0="00040000" w:csb1="00000000"/>
  </w:font>
  <w:font w:name="昆仑楷体">
    <w:altName w:val="宋体"/>
    <w:panose1 w:val="0201060900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417A3D3E-221C-4072-AB60-A48180E425F8}"/>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embedRegular r:id="rId2" w:fontKey="{F7F8D2EE-1DC0-4B88-804B-3B9BB8FB2C44}"/>
  </w:font>
  <w:font w:name="Segoe UI">
    <w:panose1 w:val="020B0502040204020203"/>
    <w:charset w:val="00"/>
    <w:family w:val="auto"/>
    <w:pitch w:val="default"/>
    <w:sig w:usb0="E10022FF" w:usb1="C000E47F" w:usb2="00000029" w:usb3="00000000" w:csb0="200001DF" w:csb1="20000000"/>
    <w:embedRegular r:id="rId3" w:fontKey="{4C3E0D5A-C9AD-4A10-9553-B87C5AB25A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142BC">
    <w:pPr>
      <w:pStyle w:val="36"/>
      <w:framePr w:wrap="around" w:vAnchor="text" w:hAnchor="margin" w:xAlign="center" w:y="1"/>
      <w:jc w:val="center"/>
      <w:rPr>
        <w:rStyle w:val="62"/>
        <w:rFonts w:hint="eastAsia"/>
      </w:rPr>
    </w:pPr>
    <w:r>
      <w:rPr>
        <w:rFonts w:ascii="宋体"/>
        <w:sz w:val="28"/>
      </w:rPr>
      <w:fldChar w:fldCharType="begin"/>
    </w:r>
    <w:r>
      <w:rPr>
        <w:rStyle w:val="62"/>
      </w:rPr>
      <w:instrText xml:space="preserve">PAGE  </w:instrText>
    </w:r>
    <w:r>
      <w:rPr>
        <w:rFonts w:ascii="宋体"/>
        <w:sz w:val="28"/>
      </w:rPr>
      <w:fldChar w:fldCharType="separate"/>
    </w:r>
    <w:r>
      <w:rPr>
        <w:rStyle w:val="62"/>
      </w:rPr>
      <w:t>- 1 -</w:t>
    </w:r>
    <w:r>
      <w:rPr>
        <w:rFonts w:ascii="宋体"/>
        <w:sz w:val="28"/>
      </w:rPr>
      <w:fldChar w:fldCharType="end"/>
    </w:r>
  </w:p>
  <w:p w14:paraId="472E4C17">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D926">
    <w:pPr>
      <w:pStyle w:val="36"/>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44817B80">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F954">
    <w:pPr>
      <w:pStyle w:val="36"/>
      <w:framePr w:wrap="around" w:vAnchor="text" w:hAnchor="margin" w:xAlign="center" w:y="1"/>
      <w:rPr>
        <w:rStyle w:val="62"/>
      </w:rPr>
    </w:pPr>
  </w:p>
  <w:p w14:paraId="374C6758">
    <w:pPr>
      <w:pStyle w:val="36"/>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497C">
    <w:pPr>
      <w:pStyle w:val="36"/>
      <w:framePr w:wrap="around" w:vAnchor="text" w:hAnchor="margin" w:xAlign="center" w:y="1"/>
      <w:jc w:val="center"/>
      <w:rPr>
        <w:rStyle w:val="62"/>
        <w:rFonts w:hint="eastAsia" w:ascii="宋体"/>
        <w:sz w:val="21"/>
        <w:szCs w:val="21"/>
      </w:rPr>
    </w:pPr>
    <w:r>
      <w:rPr>
        <w:rFonts w:ascii="宋体"/>
        <w:sz w:val="21"/>
        <w:szCs w:val="21"/>
      </w:rPr>
      <w:fldChar w:fldCharType="begin"/>
    </w:r>
    <w:r>
      <w:rPr>
        <w:rStyle w:val="62"/>
        <w:rFonts w:ascii="宋体"/>
        <w:sz w:val="21"/>
        <w:szCs w:val="21"/>
      </w:rPr>
      <w:instrText xml:space="preserve">PAGE  </w:instrText>
    </w:r>
    <w:r>
      <w:rPr>
        <w:rFonts w:ascii="宋体"/>
        <w:sz w:val="21"/>
        <w:szCs w:val="21"/>
      </w:rPr>
      <w:fldChar w:fldCharType="separate"/>
    </w:r>
    <w:r>
      <w:rPr>
        <w:rStyle w:val="62"/>
        <w:rFonts w:ascii="宋体"/>
        <w:sz w:val="21"/>
        <w:szCs w:val="21"/>
      </w:rPr>
      <w:t>- 2 -</w:t>
    </w:r>
    <w:r>
      <w:rPr>
        <w:rFonts w:ascii="宋体"/>
        <w:sz w:val="21"/>
        <w:szCs w:val="21"/>
      </w:rPr>
      <w:fldChar w:fldCharType="end"/>
    </w:r>
  </w:p>
  <w:p w14:paraId="6B0C7437">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6582C">
    <w:pPr>
      <w:pStyle w:val="36"/>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4BEF6441">
    <w:pPr>
      <w:pStyle w:val="3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D49EE">
    <w:pPr>
      <w:pStyle w:val="36"/>
      <w:framePr w:wrap="around" w:vAnchor="text" w:hAnchor="margin" w:xAlign="center" w:y="1"/>
      <w:rPr>
        <w:rStyle w:val="62"/>
      </w:rPr>
    </w:pPr>
  </w:p>
  <w:p w14:paraId="1C821D4E">
    <w:pPr>
      <w:pStyle w:val="36"/>
      <w:jc w:val="center"/>
      <w:rPr>
        <w:rFonts w:hint="eastAsia" w:ascii="宋体" w:hAnsi="宋体"/>
        <w:sz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F8017">
    <w:pPr>
      <w:pStyle w:val="36"/>
      <w:jc w:val="center"/>
      <w:rPr>
        <w:rFonts w:hint="eastAsia" w:ascii="宋体" w:hAnsi="宋体"/>
        <w:sz w:val="21"/>
        <w:szCs w:val="21"/>
      </w:rPr>
    </w:pPr>
    <w:r>
      <w:rPr>
        <w:rFonts w:ascii="宋体" w:hAnsi="宋体"/>
        <w:sz w:val="21"/>
        <w:szCs w:val="21"/>
      </w:rPr>
      <w:fldChar w:fldCharType="begin"/>
    </w:r>
    <w:r>
      <w:rPr>
        <w:rStyle w:val="62"/>
        <w:rFonts w:ascii="宋体" w:hAnsi="宋体"/>
        <w:sz w:val="21"/>
        <w:szCs w:val="21"/>
      </w:rPr>
      <w:instrText xml:space="preserve"> PAGE </w:instrText>
    </w:r>
    <w:r>
      <w:rPr>
        <w:rFonts w:ascii="宋体" w:hAnsi="宋体"/>
        <w:sz w:val="21"/>
        <w:szCs w:val="21"/>
      </w:rPr>
      <w:fldChar w:fldCharType="separate"/>
    </w:r>
    <w:r>
      <w:rPr>
        <w:rStyle w:val="62"/>
        <w:rFonts w:ascii="宋体" w:hAnsi="宋体"/>
        <w:sz w:val="21"/>
        <w:szCs w:val="21"/>
      </w:rPr>
      <w:t>- 21 -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6536C">
    <w:pPr>
      <w:pStyle w:val="37"/>
      <w:jc w:val="both"/>
      <w:rPr>
        <w:rFonts w:hint="eastAsia" w:ascii="方正仿宋_GBK" w:eastAsia="方正仿宋_GBK"/>
        <w:sz w:val="21"/>
      </w:rPr>
    </w:pPr>
    <w:r>
      <w:rPr>
        <w:rFonts w:hint="eastAsia" w:ascii="方正仿宋_GBK" w:eastAsia="方正仿宋_GBK"/>
        <w:sz w:val="21"/>
      </w:rPr>
      <w:t>重庆医科大学                                                      单一来源采购文件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185FC">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7B1CA">
    <w:pPr>
      <w:pStyle w:val="3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955A">
    <w:pPr>
      <w:pStyle w:val="37"/>
      <w:jc w:val="both"/>
      <w:rPr>
        <w:rFonts w:hint="eastAsia" w:ascii="方正仿宋_GBK" w:eastAsia="方正仿宋_GBK"/>
        <w:sz w:val="21"/>
        <w:szCs w:val="21"/>
      </w:rPr>
    </w:pPr>
    <w:r>
      <w:rPr>
        <w:rFonts w:hint="eastAsia" w:ascii="方正仿宋_GBK" w:eastAsia="方正仿宋_GBK"/>
        <w:sz w:val="21"/>
        <w:szCs w:val="21"/>
      </w:rPr>
      <w:t>重庆医科大学附属永川</w:t>
    </w:r>
    <w:r>
      <w:rPr>
        <w:rFonts w:hint="eastAsia" w:ascii="方正仿宋_GBK" w:eastAsia="方正仿宋_GBK"/>
        <w:sz w:val="21"/>
        <w:szCs w:val="21"/>
        <w:lang w:eastAsia="zh-CN"/>
      </w:rPr>
      <w:t>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FF75">
    <w:pPr>
      <w:pStyle w:val="3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F7AD5">
    <w:pPr>
      <w:pStyle w:val="37"/>
      <w:jc w:val="both"/>
      <w:rPr>
        <w:rFonts w:hint="eastAsia" w:ascii="方正仿宋_GBK" w:eastAsia="方正仿宋_GBK"/>
        <w:sz w:val="21"/>
        <w:szCs w:val="21"/>
      </w:rPr>
    </w:pPr>
    <w:r>
      <w:rPr>
        <w:rFonts w:hint="eastAsia" w:ascii="方正仿宋_GBK" w:eastAsia="方正仿宋_GBK"/>
        <w:sz w:val="21"/>
        <w:szCs w:val="21"/>
      </w:rPr>
      <w:t>重庆医科大学附属永川</w:t>
    </w:r>
    <w:r>
      <w:rPr>
        <w:rFonts w:hint="eastAsia" w:ascii="方正仿宋_GBK" w:eastAsia="方正仿宋_GBK"/>
        <w:sz w:val="21"/>
        <w:szCs w:val="21"/>
        <w:lang w:eastAsia="zh-CN"/>
      </w:rPr>
      <w:t>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7A666"/>
    <w:multiLevelType w:val="singleLevel"/>
    <w:tmpl w:val="8F17A666"/>
    <w:lvl w:ilvl="0" w:tentative="0">
      <w:start w:val="1"/>
      <w:numFmt w:val="decimal"/>
      <w:suff w:val="nothing"/>
      <w:lvlText w:val="%1、"/>
      <w:lvlJc w:val="left"/>
      <w:rPr>
        <w:rFonts w:hint="default"/>
        <w:sz w:val="18"/>
        <w:szCs w:val="18"/>
      </w:rPr>
    </w:lvl>
  </w:abstractNum>
  <w:abstractNum w:abstractNumId="1">
    <w:nsid w:val="933CCAC2"/>
    <w:multiLevelType w:val="singleLevel"/>
    <w:tmpl w:val="933CCAC2"/>
    <w:lvl w:ilvl="0" w:tentative="0">
      <w:start w:val="2"/>
      <w:numFmt w:val="chineseCounting"/>
      <w:suff w:val="nothing"/>
      <w:lvlText w:val="（%1）"/>
      <w:lvlJc w:val="left"/>
      <w:rPr>
        <w:rFonts w:hint="eastAsia"/>
      </w:rPr>
    </w:lvl>
  </w:abstractNum>
  <w:abstractNum w:abstractNumId="2">
    <w:nsid w:val="CBE14E29"/>
    <w:multiLevelType w:val="singleLevel"/>
    <w:tmpl w:val="CBE14E29"/>
    <w:lvl w:ilvl="0" w:tentative="0">
      <w:start w:val="1"/>
      <w:numFmt w:val="decimal"/>
      <w:suff w:val="nothing"/>
      <w:lvlText w:val="%1、"/>
      <w:lvlJc w:val="left"/>
      <w:rPr>
        <w:rFonts w:hint="default"/>
        <w:sz w:val="18"/>
        <w:szCs w:val="18"/>
      </w:rPr>
    </w:lvl>
  </w:abstractNum>
  <w:abstractNum w:abstractNumId="3">
    <w:nsid w:val="E20BC431"/>
    <w:multiLevelType w:val="singleLevel"/>
    <w:tmpl w:val="E20BC431"/>
    <w:lvl w:ilvl="0" w:tentative="0">
      <w:start w:val="5"/>
      <w:numFmt w:val="decimal"/>
      <w:suff w:val="nothing"/>
      <w:lvlText w:val="%1、"/>
      <w:lvlJc w:val="left"/>
    </w:lvl>
  </w:abstractNum>
  <w:abstractNum w:abstractNumId="4">
    <w:nsid w:val="F97D30CB"/>
    <w:multiLevelType w:val="singleLevel"/>
    <w:tmpl w:val="F97D30CB"/>
    <w:lvl w:ilvl="0" w:tentative="0">
      <w:start w:val="1"/>
      <w:numFmt w:val="decimal"/>
      <w:suff w:val="nothing"/>
      <w:lvlText w:val="%1、"/>
      <w:lvlJc w:val="left"/>
      <w:rPr>
        <w:rFonts w:hint="default"/>
        <w:sz w:val="18"/>
        <w:szCs w:val="18"/>
      </w:rPr>
    </w:lvl>
  </w:abstractNum>
  <w:abstractNum w:abstractNumId="5">
    <w:nsid w:val="FC31BDC1"/>
    <w:multiLevelType w:val="singleLevel"/>
    <w:tmpl w:val="FC31BDC1"/>
    <w:lvl w:ilvl="0" w:tentative="0">
      <w:start w:val="3"/>
      <w:numFmt w:val="chineseCounting"/>
      <w:suff w:val="space"/>
      <w:lvlText w:val="第%1篇"/>
      <w:lvlJc w:val="left"/>
      <w:rPr>
        <w:rFonts w:hint="eastAsia"/>
      </w:rPr>
    </w:lvl>
  </w:abstractNum>
  <w:abstractNum w:abstractNumId="6">
    <w:nsid w:val="00000009"/>
    <w:multiLevelType w:val="multilevel"/>
    <w:tmpl w:val="00000009"/>
    <w:lvl w:ilvl="0" w:tentative="0">
      <w:start w:val="1"/>
      <w:numFmt w:val="upperLetter"/>
      <w:pStyle w:val="16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0"/>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0A"/>
    <w:multiLevelType w:val="multilevel"/>
    <w:tmpl w:val="0000000A"/>
    <w:lvl w:ilvl="0" w:tentative="0">
      <w:start w:val="1"/>
      <w:numFmt w:val="bullet"/>
      <w:pStyle w:val="176"/>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B"/>
    <w:multiLevelType w:val="singleLevel"/>
    <w:tmpl w:val="0000000B"/>
    <w:lvl w:ilvl="0" w:tentative="0">
      <w:start w:val="1"/>
      <w:numFmt w:val="bullet"/>
      <w:pStyle w:val="128"/>
      <w:lvlText w:val=""/>
      <w:lvlJc w:val="left"/>
      <w:pPr>
        <w:tabs>
          <w:tab w:val="left" w:pos="360"/>
        </w:tabs>
        <w:ind w:left="360" w:hanging="360"/>
      </w:pPr>
      <w:rPr>
        <w:rFonts w:hint="default" w:ascii="Wingdings" w:hAnsi="Wingdings"/>
      </w:rPr>
    </w:lvl>
  </w:abstractNum>
  <w:abstractNum w:abstractNumId="9">
    <w:nsid w:val="0000000D"/>
    <w:multiLevelType w:val="singleLevel"/>
    <w:tmpl w:val="0000000D"/>
    <w:lvl w:ilvl="0" w:tentative="0">
      <w:start w:val="1"/>
      <w:numFmt w:val="bullet"/>
      <w:pStyle w:val="23"/>
      <w:lvlText w:val=""/>
      <w:lvlJc w:val="left"/>
      <w:pPr>
        <w:tabs>
          <w:tab w:val="left" w:pos="1200"/>
        </w:tabs>
        <w:ind w:left="1200" w:hanging="360"/>
      </w:pPr>
      <w:rPr>
        <w:rFonts w:hint="default" w:ascii="Wingdings" w:hAnsi="Wingdings"/>
      </w:rPr>
    </w:lvl>
  </w:abstractNum>
  <w:abstractNum w:abstractNumId="10">
    <w:nsid w:val="0000000E"/>
    <w:multiLevelType w:val="multilevel"/>
    <w:tmpl w:val="0000000E"/>
    <w:lvl w:ilvl="0" w:tentative="0">
      <w:start w:val="1"/>
      <w:numFmt w:val="bullet"/>
      <w:pStyle w:val="142"/>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11">
    <w:nsid w:val="00000010"/>
    <w:multiLevelType w:val="singleLevel"/>
    <w:tmpl w:val="00000010"/>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12">
    <w:nsid w:val="00000011"/>
    <w:multiLevelType w:val="multilevel"/>
    <w:tmpl w:val="00000011"/>
    <w:lvl w:ilvl="0" w:tentative="0">
      <w:start w:val="1"/>
      <w:numFmt w:val="decimal"/>
      <w:pStyle w:val="189"/>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2"/>
    <w:multiLevelType w:val="multilevel"/>
    <w:tmpl w:val="00000012"/>
    <w:lvl w:ilvl="0" w:tentative="0">
      <w:start w:val="1"/>
      <w:numFmt w:val="bullet"/>
      <w:pStyle w:val="11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00000013"/>
    <w:multiLevelType w:val="singleLevel"/>
    <w:tmpl w:val="00000013"/>
    <w:lvl w:ilvl="0" w:tentative="0">
      <w:start w:val="1"/>
      <w:numFmt w:val="decimal"/>
      <w:pStyle w:val="15"/>
      <w:lvlText w:val="%1."/>
      <w:lvlJc w:val="left"/>
      <w:pPr>
        <w:tabs>
          <w:tab w:val="left" w:pos="425"/>
        </w:tabs>
        <w:ind w:left="425" w:hanging="425"/>
      </w:pPr>
      <w:rPr>
        <w:rFonts w:hint="default"/>
      </w:rPr>
    </w:lvl>
  </w:abstractNum>
  <w:abstractNum w:abstractNumId="15">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6">
    <w:nsid w:val="00000016"/>
    <w:multiLevelType w:val="singleLevel"/>
    <w:tmpl w:val="00000016"/>
    <w:lvl w:ilvl="0" w:tentative="0">
      <w:start w:val="1"/>
      <w:numFmt w:val="decimal"/>
      <w:pStyle w:val="224"/>
      <w:lvlText w:val="%1)"/>
      <w:lvlJc w:val="left"/>
      <w:pPr>
        <w:tabs>
          <w:tab w:val="left" w:pos="425"/>
        </w:tabs>
        <w:ind w:left="425" w:hanging="425"/>
      </w:pPr>
      <w:rPr>
        <w:rFonts w:hint="eastAsia"/>
      </w:rPr>
    </w:lvl>
  </w:abstractNum>
  <w:abstractNum w:abstractNumId="17">
    <w:nsid w:val="00000017"/>
    <w:multiLevelType w:val="multilevel"/>
    <w:tmpl w:val="00000017"/>
    <w:lvl w:ilvl="0" w:tentative="0">
      <w:start w:val="1"/>
      <w:numFmt w:val="chineseCountingThousand"/>
      <w:pStyle w:val="20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17C9FAA8"/>
    <w:multiLevelType w:val="singleLevel"/>
    <w:tmpl w:val="17C9FAA8"/>
    <w:lvl w:ilvl="0" w:tentative="0">
      <w:start w:val="1"/>
      <w:numFmt w:val="decimal"/>
      <w:suff w:val="nothing"/>
      <w:lvlText w:val="%1、"/>
      <w:lvlJc w:val="left"/>
      <w:rPr>
        <w:rFonts w:hint="default"/>
        <w:sz w:val="18"/>
        <w:szCs w:val="18"/>
      </w:rPr>
    </w:lvl>
  </w:abstractNum>
  <w:abstractNum w:abstractNumId="19">
    <w:nsid w:val="21631087"/>
    <w:multiLevelType w:val="multilevel"/>
    <w:tmpl w:val="2163108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394917E4"/>
    <w:multiLevelType w:val="singleLevel"/>
    <w:tmpl w:val="394917E4"/>
    <w:lvl w:ilvl="0" w:tentative="0">
      <w:start w:val="1"/>
      <w:numFmt w:val="decimal"/>
      <w:suff w:val="nothing"/>
      <w:lvlText w:val="%1、"/>
      <w:lvlJc w:val="left"/>
      <w:rPr>
        <w:rFonts w:hint="default"/>
        <w:sz w:val="18"/>
        <w:szCs w:val="18"/>
      </w:rPr>
    </w:lvl>
  </w:abstractNum>
  <w:abstractNum w:abstractNumId="2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7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2">
    <w:nsid w:val="5CAB9444"/>
    <w:multiLevelType w:val="singleLevel"/>
    <w:tmpl w:val="5CAB9444"/>
    <w:lvl w:ilvl="0" w:tentative="0">
      <w:start w:val="1"/>
      <w:numFmt w:val="decimal"/>
      <w:suff w:val="nothing"/>
      <w:lvlText w:val="%1、"/>
      <w:lvlJc w:val="left"/>
      <w:rPr>
        <w:rFonts w:hint="default"/>
        <w:sz w:val="18"/>
        <w:szCs w:val="18"/>
      </w:rPr>
    </w:lvl>
  </w:abstractNum>
  <w:abstractNum w:abstractNumId="23">
    <w:nsid w:val="679828CC"/>
    <w:multiLevelType w:val="singleLevel"/>
    <w:tmpl w:val="679828CC"/>
    <w:lvl w:ilvl="0" w:tentative="0">
      <w:start w:val="1"/>
      <w:numFmt w:val="decimal"/>
      <w:suff w:val="nothing"/>
      <w:lvlText w:val="%1、"/>
      <w:lvlJc w:val="left"/>
      <w:rPr>
        <w:rFonts w:hint="default"/>
        <w:sz w:val="18"/>
        <w:szCs w:val="18"/>
      </w:rPr>
    </w:lvl>
  </w:abstractNum>
  <w:abstractNum w:abstractNumId="24">
    <w:nsid w:val="7306726A"/>
    <w:multiLevelType w:val="multilevel"/>
    <w:tmpl w:val="7306726A"/>
    <w:lvl w:ilvl="0" w:tentative="0">
      <w:start w:val="1"/>
      <w:numFmt w:val="japaneseCounting"/>
      <w:lvlText w:val="（%1）"/>
      <w:lvlJc w:val="left"/>
      <w:pPr>
        <w:ind w:left="885" w:hanging="88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4"/>
  </w:num>
  <w:num w:numId="2">
    <w:abstractNumId w:val="11"/>
  </w:num>
  <w:num w:numId="3">
    <w:abstractNumId w:val="9"/>
  </w:num>
  <w:num w:numId="4">
    <w:abstractNumId w:val="15"/>
  </w:num>
  <w:num w:numId="5">
    <w:abstractNumId w:val="21"/>
  </w:num>
  <w:num w:numId="6">
    <w:abstractNumId w:val="13"/>
  </w:num>
  <w:num w:numId="7">
    <w:abstractNumId w:val="8"/>
  </w:num>
  <w:num w:numId="8">
    <w:abstractNumId w:val="10"/>
  </w:num>
  <w:num w:numId="9">
    <w:abstractNumId w:val="6"/>
  </w:num>
  <w:num w:numId="10">
    <w:abstractNumId w:val="7"/>
  </w:num>
  <w:num w:numId="11">
    <w:abstractNumId w:val="12"/>
  </w:num>
  <w:num w:numId="12">
    <w:abstractNumId w:val="17"/>
  </w:num>
  <w:num w:numId="13">
    <w:abstractNumId w:val="16"/>
  </w:num>
  <w:num w:numId="14">
    <w:abstractNumId w:val="3"/>
  </w:num>
  <w:num w:numId="15">
    <w:abstractNumId w:val="5"/>
  </w:num>
  <w:num w:numId="16">
    <w:abstractNumId w:val="1"/>
  </w:num>
  <w:num w:numId="17">
    <w:abstractNumId w:val="4"/>
  </w:num>
  <w:num w:numId="18">
    <w:abstractNumId w:val="23"/>
  </w:num>
  <w:num w:numId="19">
    <w:abstractNumId w:val="20"/>
  </w:num>
  <w:num w:numId="20">
    <w:abstractNumId w:val="0"/>
  </w:num>
  <w:num w:numId="21">
    <w:abstractNumId w:val="22"/>
  </w:num>
  <w:num w:numId="22">
    <w:abstractNumId w:val="18"/>
  </w:num>
  <w:num w:numId="23">
    <w:abstractNumId w:val="2"/>
  </w:num>
  <w:num w:numId="24">
    <w:abstractNumId w:val="2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172A27"/>
    <w:rsid w:val="0000180C"/>
    <w:rsid w:val="00002EAF"/>
    <w:rsid w:val="000040DE"/>
    <w:rsid w:val="00005A02"/>
    <w:rsid w:val="0001227B"/>
    <w:rsid w:val="00013A8C"/>
    <w:rsid w:val="00015A2E"/>
    <w:rsid w:val="00016B79"/>
    <w:rsid w:val="00017C08"/>
    <w:rsid w:val="00022597"/>
    <w:rsid w:val="00022975"/>
    <w:rsid w:val="00025926"/>
    <w:rsid w:val="00026AFF"/>
    <w:rsid w:val="00027AF7"/>
    <w:rsid w:val="00030807"/>
    <w:rsid w:val="00033C8A"/>
    <w:rsid w:val="000358F8"/>
    <w:rsid w:val="0003632F"/>
    <w:rsid w:val="00036537"/>
    <w:rsid w:val="00041356"/>
    <w:rsid w:val="00043C9B"/>
    <w:rsid w:val="000446C0"/>
    <w:rsid w:val="00046D93"/>
    <w:rsid w:val="00051D6C"/>
    <w:rsid w:val="0005298B"/>
    <w:rsid w:val="00054308"/>
    <w:rsid w:val="0005456D"/>
    <w:rsid w:val="000549FF"/>
    <w:rsid w:val="000561C4"/>
    <w:rsid w:val="000576E1"/>
    <w:rsid w:val="00063981"/>
    <w:rsid w:val="00064FA3"/>
    <w:rsid w:val="000674B0"/>
    <w:rsid w:val="00082605"/>
    <w:rsid w:val="00083902"/>
    <w:rsid w:val="00091B1C"/>
    <w:rsid w:val="00092CF5"/>
    <w:rsid w:val="00093213"/>
    <w:rsid w:val="000938CD"/>
    <w:rsid w:val="000946B8"/>
    <w:rsid w:val="00094BE9"/>
    <w:rsid w:val="00096E0E"/>
    <w:rsid w:val="000A1414"/>
    <w:rsid w:val="000A164E"/>
    <w:rsid w:val="000B42F4"/>
    <w:rsid w:val="000B711E"/>
    <w:rsid w:val="000B7377"/>
    <w:rsid w:val="000B7F54"/>
    <w:rsid w:val="000C04DB"/>
    <w:rsid w:val="000C0E6F"/>
    <w:rsid w:val="000C34DA"/>
    <w:rsid w:val="000C5B30"/>
    <w:rsid w:val="000C6DAB"/>
    <w:rsid w:val="000D077F"/>
    <w:rsid w:val="000D1C94"/>
    <w:rsid w:val="000D23F5"/>
    <w:rsid w:val="000D40BA"/>
    <w:rsid w:val="000D7EB8"/>
    <w:rsid w:val="000E0B28"/>
    <w:rsid w:val="000E3259"/>
    <w:rsid w:val="000F3752"/>
    <w:rsid w:val="000F48FD"/>
    <w:rsid w:val="000F5ACE"/>
    <w:rsid w:val="000F7DBF"/>
    <w:rsid w:val="00100639"/>
    <w:rsid w:val="00103DA9"/>
    <w:rsid w:val="00103DDC"/>
    <w:rsid w:val="0010540F"/>
    <w:rsid w:val="00113E89"/>
    <w:rsid w:val="00115F15"/>
    <w:rsid w:val="001167BC"/>
    <w:rsid w:val="00116856"/>
    <w:rsid w:val="00120259"/>
    <w:rsid w:val="00120851"/>
    <w:rsid w:val="00120CDF"/>
    <w:rsid w:val="00121C81"/>
    <w:rsid w:val="00125876"/>
    <w:rsid w:val="00125AAB"/>
    <w:rsid w:val="001266BF"/>
    <w:rsid w:val="00131054"/>
    <w:rsid w:val="00133D16"/>
    <w:rsid w:val="0013496A"/>
    <w:rsid w:val="001363B2"/>
    <w:rsid w:val="001376CB"/>
    <w:rsid w:val="001378A9"/>
    <w:rsid w:val="001401FF"/>
    <w:rsid w:val="00140C83"/>
    <w:rsid w:val="00140E25"/>
    <w:rsid w:val="00147FB4"/>
    <w:rsid w:val="0015011C"/>
    <w:rsid w:val="00150429"/>
    <w:rsid w:val="0015351E"/>
    <w:rsid w:val="0016035A"/>
    <w:rsid w:val="00160AF3"/>
    <w:rsid w:val="0016303B"/>
    <w:rsid w:val="001748ED"/>
    <w:rsid w:val="00177DD5"/>
    <w:rsid w:val="00180ACB"/>
    <w:rsid w:val="001817E1"/>
    <w:rsid w:val="00181A7F"/>
    <w:rsid w:val="0018249D"/>
    <w:rsid w:val="0018347E"/>
    <w:rsid w:val="0018465A"/>
    <w:rsid w:val="00184BDE"/>
    <w:rsid w:val="00185577"/>
    <w:rsid w:val="00186623"/>
    <w:rsid w:val="0018699A"/>
    <w:rsid w:val="001879DB"/>
    <w:rsid w:val="00192079"/>
    <w:rsid w:val="00194C84"/>
    <w:rsid w:val="00196866"/>
    <w:rsid w:val="00196AF7"/>
    <w:rsid w:val="001A0016"/>
    <w:rsid w:val="001A4270"/>
    <w:rsid w:val="001A6DCC"/>
    <w:rsid w:val="001B1E4E"/>
    <w:rsid w:val="001B2365"/>
    <w:rsid w:val="001B3DBD"/>
    <w:rsid w:val="001B4377"/>
    <w:rsid w:val="001B6655"/>
    <w:rsid w:val="001B7547"/>
    <w:rsid w:val="001D1C3B"/>
    <w:rsid w:val="001D2321"/>
    <w:rsid w:val="001D2DCD"/>
    <w:rsid w:val="001D5055"/>
    <w:rsid w:val="001D7756"/>
    <w:rsid w:val="001E07FE"/>
    <w:rsid w:val="001E5CAC"/>
    <w:rsid w:val="001E5EB4"/>
    <w:rsid w:val="001E725F"/>
    <w:rsid w:val="001E75B9"/>
    <w:rsid w:val="001F1AF7"/>
    <w:rsid w:val="001F1CA8"/>
    <w:rsid w:val="001F48D9"/>
    <w:rsid w:val="001F4964"/>
    <w:rsid w:val="001F7063"/>
    <w:rsid w:val="00200186"/>
    <w:rsid w:val="00202B04"/>
    <w:rsid w:val="00204936"/>
    <w:rsid w:val="002100EE"/>
    <w:rsid w:val="00211874"/>
    <w:rsid w:val="00211A92"/>
    <w:rsid w:val="0022065B"/>
    <w:rsid w:val="00222097"/>
    <w:rsid w:val="00222629"/>
    <w:rsid w:val="0022517B"/>
    <w:rsid w:val="00225B78"/>
    <w:rsid w:val="00227BA9"/>
    <w:rsid w:val="00232BB6"/>
    <w:rsid w:val="00234194"/>
    <w:rsid w:val="00235F8F"/>
    <w:rsid w:val="002374DD"/>
    <w:rsid w:val="00237759"/>
    <w:rsid w:val="00244E68"/>
    <w:rsid w:val="00250B09"/>
    <w:rsid w:val="00263F49"/>
    <w:rsid w:val="002643C1"/>
    <w:rsid w:val="00267DDF"/>
    <w:rsid w:val="00271A27"/>
    <w:rsid w:val="00271D47"/>
    <w:rsid w:val="002721EA"/>
    <w:rsid w:val="00280E8A"/>
    <w:rsid w:val="002827F1"/>
    <w:rsid w:val="00283A40"/>
    <w:rsid w:val="00283B57"/>
    <w:rsid w:val="00285164"/>
    <w:rsid w:val="00285D78"/>
    <w:rsid w:val="0028777C"/>
    <w:rsid w:val="00291F99"/>
    <w:rsid w:val="00295381"/>
    <w:rsid w:val="002A4956"/>
    <w:rsid w:val="002A5652"/>
    <w:rsid w:val="002A6710"/>
    <w:rsid w:val="002A67FE"/>
    <w:rsid w:val="002A7622"/>
    <w:rsid w:val="002B0579"/>
    <w:rsid w:val="002B3C24"/>
    <w:rsid w:val="002B47A4"/>
    <w:rsid w:val="002B7904"/>
    <w:rsid w:val="002C2507"/>
    <w:rsid w:val="002C2E6E"/>
    <w:rsid w:val="002C7AAB"/>
    <w:rsid w:val="002D41C3"/>
    <w:rsid w:val="002E632A"/>
    <w:rsid w:val="002F1B06"/>
    <w:rsid w:val="002F26FF"/>
    <w:rsid w:val="002F3DE3"/>
    <w:rsid w:val="002F632E"/>
    <w:rsid w:val="00301B97"/>
    <w:rsid w:val="003035CA"/>
    <w:rsid w:val="00303742"/>
    <w:rsid w:val="00310AF9"/>
    <w:rsid w:val="00312897"/>
    <w:rsid w:val="0031465E"/>
    <w:rsid w:val="00314783"/>
    <w:rsid w:val="00314E6F"/>
    <w:rsid w:val="00315742"/>
    <w:rsid w:val="003163B3"/>
    <w:rsid w:val="003169E9"/>
    <w:rsid w:val="00317698"/>
    <w:rsid w:val="00323FD5"/>
    <w:rsid w:val="00324F2C"/>
    <w:rsid w:val="00326BBC"/>
    <w:rsid w:val="00335BDB"/>
    <w:rsid w:val="003360A8"/>
    <w:rsid w:val="00341DEB"/>
    <w:rsid w:val="00343C3E"/>
    <w:rsid w:val="00346A3D"/>
    <w:rsid w:val="00347FC2"/>
    <w:rsid w:val="00350C20"/>
    <w:rsid w:val="0035143D"/>
    <w:rsid w:val="003524DE"/>
    <w:rsid w:val="00352C2C"/>
    <w:rsid w:val="003548FA"/>
    <w:rsid w:val="00355A74"/>
    <w:rsid w:val="00361427"/>
    <w:rsid w:val="00363A39"/>
    <w:rsid w:val="0036458B"/>
    <w:rsid w:val="00371328"/>
    <w:rsid w:val="00371D2F"/>
    <w:rsid w:val="00372D5B"/>
    <w:rsid w:val="00375E03"/>
    <w:rsid w:val="00377AD8"/>
    <w:rsid w:val="00380843"/>
    <w:rsid w:val="00381BD5"/>
    <w:rsid w:val="0038344F"/>
    <w:rsid w:val="00384161"/>
    <w:rsid w:val="00387610"/>
    <w:rsid w:val="003973D3"/>
    <w:rsid w:val="00397C22"/>
    <w:rsid w:val="003A0892"/>
    <w:rsid w:val="003A449E"/>
    <w:rsid w:val="003A4841"/>
    <w:rsid w:val="003A501C"/>
    <w:rsid w:val="003A57F1"/>
    <w:rsid w:val="003A71F3"/>
    <w:rsid w:val="003B19F5"/>
    <w:rsid w:val="003B7B71"/>
    <w:rsid w:val="003C0A38"/>
    <w:rsid w:val="003C3A20"/>
    <w:rsid w:val="003C4D66"/>
    <w:rsid w:val="003C75D6"/>
    <w:rsid w:val="003D0E0A"/>
    <w:rsid w:val="003D1569"/>
    <w:rsid w:val="003D54DD"/>
    <w:rsid w:val="003E1F8A"/>
    <w:rsid w:val="003E5E67"/>
    <w:rsid w:val="003F62D1"/>
    <w:rsid w:val="003F7459"/>
    <w:rsid w:val="00402B32"/>
    <w:rsid w:val="00406DD2"/>
    <w:rsid w:val="00410C93"/>
    <w:rsid w:val="00411B4A"/>
    <w:rsid w:val="00412680"/>
    <w:rsid w:val="004167CD"/>
    <w:rsid w:val="00424376"/>
    <w:rsid w:val="00425EDA"/>
    <w:rsid w:val="0043290D"/>
    <w:rsid w:val="00432A1B"/>
    <w:rsid w:val="004353BF"/>
    <w:rsid w:val="004400CA"/>
    <w:rsid w:val="00441B3C"/>
    <w:rsid w:val="00441BFA"/>
    <w:rsid w:val="004442EA"/>
    <w:rsid w:val="004465D1"/>
    <w:rsid w:val="004474F3"/>
    <w:rsid w:val="00450932"/>
    <w:rsid w:val="004515DA"/>
    <w:rsid w:val="00452505"/>
    <w:rsid w:val="00453B6F"/>
    <w:rsid w:val="004543A5"/>
    <w:rsid w:val="00455457"/>
    <w:rsid w:val="004564F7"/>
    <w:rsid w:val="00462878"/>
    <w:rsid w:val="0046417B"/>
    <w:rsid w:val="004657EA"/>
    <w:rsid w:val="00481A49"/>
    <w:rsid w:val="004839A7"/>
    <w:rsid w:val="00484C3B"/>
    <w:rsid w:val="00490246"/>
    <w:rsid w:val="00490E5A"/>
    <w:rsid w:val="004953EC"/>
    <w:rsid w:val="00495BCA"/>
    <w:rsid w:val="00496F50"/>
    <w:rsid w:val="004A015E"/>
    <w:rsid w:val="004A0DE1"/>
    <w:rsid w:val="004A21A7"/>
    <w:rsid w:val="004A2410"/>
    <w:rsid w:val="004A27AC"/>
    <w:rsid w:val="004A2B68"/>
    <w:rsid w:val="004A6279"/>
    <w:rsid w:val="004B7D9F"/>
    <w:rsid w:val="004C0266"/>
    <w:rsid w:val="004C1DD0"/>
    <w:rsid w:val="004C598A"/>
    <w:rsid w:val="004C5F0E"/>
    <w:rsid w:val="004C64E4"/>
    <w:rsid w:val="004D72B6"/>
    <w:rsid w:val="004D7CD8"/>
    <w:rsid w:val="004E0650"/>
    <w:rsid w:val="004E3234"/>
    <w:rsid w:val="004E3AEE"/>
    <w:rsid w:val="004E4822"/>
    <w:rsid w:val="004E4B60"/>
    <w:rsid w:val="004E4EFB"/>
    <w:rsid w:val="004E55DB"/>
    <w:rsid w:val="004F2A9F"/>
    <w:rsid w:val="004F6879"/>
    <w:rsid w:val="00500D8B"/>
    <w:rsid w:val="00501235"/>
    <w:rsid w:val="00502B2F"/>
    <w:rsid w:val="005049CB"/>
    <w:rsid w:val="00505F40"/>
    <w:rsid w:val="00512D00"/>
    <w:rsid w:val="00514179"/>
    <w:rsid w:val="005170E4"/>
    <w:rsid w:val="00522621"/>
    <w:rsid w:val="00524D8A"/>
    <w:rsid w:val="005317C7"/>
    <w:rsid w:val="005320C1"/>
    <w:rsid w:val="00536484"/>
    <w:rsid w:val="00540389"/>
    <w:rsid w:val="00541B39"/>
    <w:rsid w:val="005460D5"/>
    <w:rsid w:val="00551572"/>
    <w:rsid w:val="00555A57"/>
    <w:rsid w:val="00556AA7"/>
    <w:rsid w:val="005573AE"/>
    <w:rsid w:val="005604F4"/>
    <w:rsid w:val="0056050C"/>
    <w:rsid w:val="00562860"/>
    <w:rsid w:val="0056298A"/>
    <w:rsid w:val="00565C03"/>
    <w:rsid w:val="00566A85"/>
    <w:rsid w:val="00567E3D"/>
    <w:rsid w:val="00571368"/>
    <w:rsid w:val="00573AE3"/>
    <w:rsid w:val="0057785E"/>
    <w:rsid w:val="00581B74"/>
    <w:rsid w:val="005902D9"/>
    <w:rsid w:val="00590B75"/>
    <w:rsid w:val="00590CE0"/>
    <w:rsid w:val="0059244D"/>
    <w:rsid w:val="00595291"/>
    <w:rsid w:val="00596AB7"/>
    <w:rsid w:val="005A1459"/>
    <w:rsid w:val="005A1EA7"/>
    <w:rsid w:val="005A47DA"/>
    <w:rsid w:val="005A7D38"/>
    <w:rsid w:val="005B0724"/>
    <w:rsid w:val="005B1E46"/>
    <w:rsid w:val="005B22D9"/>
    <w:rsid w:val="005B3C15"/>
    <w:rsid w:val="005B7775"/>
    <w:rsid w:val="005C0014"/>
    <w:rsid w:val="005C119A"/>
    <w:rsid w:val="005C42AC"/>
    <w:rsid w:val="005C4F84"/>
    <w:rsid w:val="005C5383"/>
    <w:rsid w:val="005D12E2"/>
    <w:rsid w:val="005D196C"/>
    <w:rsid w:val="005D32F0"/>
    <w:rsid w:val="005D703E"/>
    <w:rsid w:val="005E0919"/>
    <w:rsid w:val="005E23FE"/>
    <w:rsid w:val="005E27F9"/>
    <w:rsid w:val="005E370D"/>
    <w:rsid w:val="005E4C0B"/>
    <w:rsid w:val="005E620C"/>
    <w:rsid w:val="005E7E9D"/>
    <w:rsid w:val="005F7F2B"/>
    <w:rsid w:val="00603842"/>
    <w:rsid w:val="0060543A"/>
    <w:rsid w:val="00607F77"/>
    <w:rsid w:val="00610C5F"/>
    <w:rsid w:val="00613410"/>
    <w:rsid w:val="00615434"/>
    <w:rsid w:val="0061717E"/>
    <w:rsid w:val="00617343"/>
    <w:rsid w:val="00617986"/>
    <w:rsid w:val="00617D2D"/>
    <w:rsid w:val="00620A55"/>
    <w:rsid w:val="00627297"/>
    <w:rsid w:val="00627DD2"/>
    <w:rsid w:val="006306A2"/>
    <w:rsid w:val="00634744"/>
    <w:rsid w:val="006410C0"/>
    <w:rsid w:val="00642E8A"/>
    <w:rsid w:val="00644DA7"/>
    <w:rsid w:val="00644FB8"/>
    <w:rsid w:val="006454B2"/>
    <w:rsid w:val="006471CC"/>
    <w:rsid w:val="0065310A"/>
    <w:rsid w:val="00654A48"/>
    <w:rsid w:val="006552FD"/>
    <w:rsid w:val="0065651B"/>
    <w:rsid w:val="006570E8"/>
    <w:rsid w:val="00662529"/>
    <w:rsid w:val="00664607"/>
    <w:rsid w:val="00664CFB"/>
    <w:rsid w:val="00664E29"/>
    <w:rsid w:val="00670089"/>
    <w:rsid w:val="0067150C"/>
    <w:rsid w:val="00672CC9"/>
    <w:rsid w:val="00674CDD"/>
    <w:rsid w:val="00680AE4"/>
    <w:rsid w:val="00680EB9"/>
    <w:rsid w:val="00682274"/>
    <w:rsid w:val="00684E51"/>
    <w:rsid w:val="00685BC8"/>
    <w:rsid w:val="006862A3"/>
    <w:rsid w:val="0069086A"/>
    <w:rsid w:val="006966F5"/>
    <w:rsid w:val="006A100B"/>
    <w:rsid w:val="006A143A"/>
    <w:rsid w:val="006A278D"/>
    <w:rsid w:val="006A3285"/>
    <w:rsid w:val="006A4743"/>
    <w:rsid w:val="006A55C3"/>
    <w:rsid w:val="006A58DF"/>
    <w:rsid w:val="006A5DDE"/>
    <w:rsid w:val="006B0048"/>
    <w:rsid w:val="006B17C8"/>
    <w:rsid w:val="006B5E7E"/>
    <w:rsid w:val="006B72DE"/>
    <w:rsid w:val="006C1349"/>
    <w:rsid w:val="006C5832"/>
    <w:rsid w:val="006C5FC1"/>
    <w:rsid w:val="006D1442"/>
    <w:rsid w:val="006D44E1"/>
    <w:rsid w:val="006D552C"/>
    <w:rsid w:val="006E21FA"/>
    <w:rsid w:val="006F03F0"/>
    <w:rsid w:val="006F0DEB"/>
    <w:rsid w:val="006F0FB7"/>
    <w:rsid w:val="006F14E2"/>
    <w:rsid w:val="006F354D"/>
    <w:rsid w:val="006F4C07"/>
    <w:rsid w:val="006F511B"/>
    <w:rsid w:val="006F7C11"/>
    <w:rsid w:val="00701184"/>
    <w:rsid w:val="00704E5D"/>
    <w:rsid w:val="00705739"/>
    <w:rsid w:val="007104ED"/>
    <w:rsid w:val="00713467"/>
    <w:rsid w:val="0071489C"/>
    <w:rsid w:val="00720104"/>
    <w:rsid w:val="0072099B"/>
    <w:rsid w:val="00721F54"/>
    <w:rsid w:val="00724F97"/>
    <w:rsid w:val="00726088"/>
    <w:rsid w:val="007279DB"/>
    <w:rsid w:val="00730B6A"/>
    <w:rsid w:val="00730BFB"/>
    <w:rsid w:val="00731622"/>
    <w:rsid w:val="007329CF"/>
    <w:rsid w:val="00734BB1"/>
    <w:rsid w:val="00734C8D"/>
    <w:rsid w:val="00736D88"/>
    <w:rsid w:val="00736DD2"/>
    <w:rsid w:val="00740701"/>
    <w:rsid w:val="00740AA9"/>
    <w:rsid w:val="00742998"/>
    <w:rsid w:val="00743D93"/>
    <w:rsid w:val="007453BD"/>
    <w:rsid w:val="00745FA2"/>
    <w:rsid w:val="0074637D"/>
    <w:rsid w:val="0074681C"/>
    <w:rsid w:val="00746B5E"/>
    <w:rsid w:val="00746EC2"/>
    <w:rsid w:val="0075042A"/>
    <w:rsid w:val="00750972"/>
    <w:rsid w:val="0075124D"/>
    <w:rsid w:val="007523DA"/>
    <w:rsid w:val="00755460"/>
    <w:rsid w:val="0075581A"/>
    <w:rsid w:val="00757782"/>
    <w:rsid w:val="00757807"/>
    <w:rsid w:val="007600C1"/>
    <w:rsid w:val="007631C3"/>
    <w:rsid w:val="0076486C"/>
    <w:rsid w:val="0076516A"/>
    <w:rsid w:val="00770494"/>
    <w:rsid w:val="00771617"/>
    <w:rsid w:val="00771879"/>
    <w:rsid w:val="007766E9"/>
    <w:rsid w:val="00777433"/>
    <w:rsid w:val="0078091B"/>
    <w:rsid w:val="00785E3E"/>
    <w:rsid w:val="00785F86"/>
    <w:rsid w:val="00791246"/>
    <w:rsid w:val="007926FA"/>
    <w:rsid w:val="00792A82"/>
    <w:rsid w:val="007940EE"/>
    <w:rsid w:val="00794CCF"/>
    <w:rsid w:val="007959AC"/>
    <w:rsid w:val="007A20E0"/>
    <w:rsid w:val="007A2D82"/>
    <w:rsid w:val="007B0AD5"/>
    <w:rsid w:val="007B1827"/>
    <w:rsid w:val="007B2204"/>
    <w:rsid w:val="007B4B60"/>
    <w:rsid w:val="007C075F"/>
    <w:rsid w:val="007C2636"/>
    <w:rsid w:val="007C4A0F"/>
    <w:rsid w:val="007D3CA6"/>
    <w:rsid w:val="007D5C0C"/>
    <w:rsid w:val="007D72B8"/>
    <w:rsid w:val="007E0D9F"/>
    <w:rsid w:val="007E298C"/>
    <w:rsid w:val="007E3989"/>
    <w:rsid w:val="007E4A47"/>
    <w:rsid w:val="007E4BFF"/>
    <w:rsid w:val="007E58E3"/>
    <w:rsid w:val="007F0929"/>
    <w:rsid w:val="007F1823"/>
    <w:rsid w:val="007F2295"/>
    <w:rsid w:val="007F3CCE"/>
    <w:rsid w:val="007F5B22"/>
    <w:rsid w:val="007F5C55"/>
    <w:rsid w:val="007F6A65"/>
    <w:rsid w:val="008041D4"/>
    <w:rsid w:val="00807EE7"/>
    <w:rsid w:val="008109A2"/>
    <w:rsid w:val="0081156A"/>
    <w:rsid w:val="008223CA"/>
    <w:rsid w:val="00827398"/>
    <w:rsid w:val="00832559"/>
    <w:rsid w:val="00834956"/>
    <w:rsid w:val="00842974"/>
    <w:rsid w:val="0084353E"/>
    <w:rsid w:val="00851805"/>
    <w:rsid w:val="00853FE4"/>
    <w:rsid w:val="00854BF8"/>
    <w:rsid w:val="0085550A"/>
    <w:rsid w:val="00857027"/>
    <w:rsid w:val="008616EF"/>
    <w:rsid w:val="00863C25"/>
    <w:rsid w:val="00864E25"/>
    <w:rsid w:val="008666A0"/>
    <w:rsid w:val="008705BC"/>
    <w:rsid w:val="00875A42"/>
    <w:rsid w:val="00876B51"/>
    <w:rsid w:val="00883BD5"/>
    <w:rsid w:val="008904A8"/>
    <w:rsid w:val="00891344"/>
    <w:rsid w:val="0089494E"/>
    <w:rsid w:val="008964E2"/>
    <w:rsid w:val="008A0338"/>
    <w:rsid w:val="008A2EFF"/>
    <w:rsid w:val="008A48FC"/>
    <w:rsid w:val="008A52BE"/>
    <w:rsid w:val="008B12E9"/>
    <w:rsid w:val="008B26FB"/>
    <w:rsid w:val="008B63A1"/>
    <w:rsid w:val="008C2196"/>
    <w:rsid w:val="008C28C6"/>
    <w:rsid w:val="008C32DD"/>
    <w:rsid w:val="008C3708"/>
    <w:rsid w:val="008C4A97"/>
    <w:rsid w:val="008C510F"/>
    <w:rsid w:val="008D4DD3"/>
    <w:rsid w:val="008E0E94"/>
    <w:rsid w:val="008E2806"/>
    <w:rsid w:val="008E39CA"/>
    <w:rsid w:val="008E4D8E"/>
    <w:rsid w:val="008E538C"/>
    <w:rsid w:val="008E66B8"/>
    <w:rsid w:val="008E73EB"/>
    <w:rsid w:val="008F1988"/>
    <w:rsid w:val="008F25DB"/>
    <w:rsid w:val="008F2AD5"/>
    <w:rsid w:val="008F2D73"/>
    <w:rsid w:val="008F3F0D"/>
    <w:rsid w:val="008F6252"/>
    <w:rsid w:val="008F770B"/>
    <w:rsid w:val="00900F79"/>
    <w:rsid w:val="0090208D"/>
    <w:rsid w:val="009023F3"/>
    <w:rsid w:val="0090383C"/>
    <w:rsid w:val="00905382"/>
    <w:rsid w:val="00905D25"/>
    <w:rsid w:val="009079C1"/>
    <w:rsid w:val="00907FFD"/>
    <w:rsid w:val="00911ACF"/>
    <w:rsid w:val="00911AE9"/>
    <w:rsid w:val="00912132"/>
    <w:rsid w:val="00912A05"/>
    <w:rsid w:val="009130F1"/>
    <w:rsid w:val="00916B03"/>
    <w:rsid w:val="00922FAD"/>
    <w:rsid w:val="0092493D"/>
    <w:rsid w:val="00924F0A"/>
    <w:rsid w:val="0092708B"/>
    <w:rsid w:val="009313BB"/>
    <w:rsid w:val="00931CF8"/>
    <w:rsid w:val="00934571"/>
    <w:rsid w:val="0093578C"/>
    <w:rsid w:val="00937713"/>
    <w:rsid w:val="00943FB2"/>
    <w:rsid w:val="00954464"/>
    <w:rsid w:val="00955C18"/>
    <w:rsid w:val="00955EBF"/>
    <w:rsid w:val="00961D25"/>
    <w:rsid w:val="00963C95"/>
    <w:rsid w:val="00965F7C"/>
    <w:rsid w:val="00966820"/>
    <w:rsid w:val="009676C6"/>
    <w:rsid w:val="00967A56"/>
    <w:rsid w:val="00971071"/>
    <w:rsid w:val="00972633"/>
    <w:rsid w:val="00973679"/>
    <w:rsid w:val="009739E4"/>
    <w:rsid w:val="00974151"/>
    <w:rsid w:val="0097513C"/>
    <w:rsid w:val="009751B9"/>
    <w:rsid w:val="00977D87"/>
    <w:rsid w:val="00980037"/>
    <w:rsid w:val="00983B43"/>
    <w:rsid w:val="00985870"/>
    <w:rsid w:val="009933E5"/>
    <w:rsid w:val="009935C9"/>
    <w:rsid w:val="00996D2C"/>
    <w:rsid w:val="009A048A"/>
    <w:rsid w:val="009A070C"/>
    <w:rsid w:val="009A4301"/>
    <w:rsid w:val="009C032D"/>
    <w:rsid w:val="009C03E8"/>
    <w:rsid w:val="009C3034"/>
    <w:rsid w:val="009C40F0"/>
    <w:rsid w:val="009C4958"/>
    <w:rsid w:val="009D01D6"/>
    <w:rsid w:val="009D2934"/>
    <w:rsid w:val="009D6931"/>
    <w:rsid w:val="009D74A0"/>
    <w:rsid w:val="009E70BB"/>
    <w:rsid w:val="009E737D"/>
    <w:rsid w:val="009E749B"/>
    <w:rsid w:val="009F4390"/>
    <w:rsid w:val="009F5335"/>
    <w:rsid w:val="00A03977"/>
    <w:rsid w:val="00A050D4"/>
    <w:rsid w:val="00A13095"/>
    <w:rsid w:val="00A16C2A"/>
    <w:rsid w:val="00A17156"/>
    <w:rsid w:val="00A25C44"/>
    <w:rsid w:val="00A25CF8"/>
    <w:rsid w:val="00A26FF7"/>
    <w:rsid w:val="00A30B50"/>
    <w:rsid w:val="00A3107D"/>
    <w:rsid w:val="00A330D4"/>
    <w:rsid w:val="00A35338"/>
    <w:rsid w:val="00A36BEC"/>
    <w:rsid w:val="00A445DC"/>
    <w:rsid w:val="00A44BEA"/>
    <w:rsid w:val="00A52666"/>
    <w:rsid w:val="00A541FA"/>
    <w:rsid w:val="00A5528E"/>
    <w:rsid w:val="00A553F3"/>
    <w:rsid w:val="00A575D9"/>
    <w:rsid w:val="00A57A7E"/>
    <w:rsid w:val="00A60040"/>
    <w:rsid w:val="00A60C8A"/>
    <w:rsid w:val="00A63310"/>
    <w:rsid w:val="00A66DEB"/>
    <w:rsid w:val="00A67DFB"/>
    <w:rsid w:val="00A711C6"/>
    <w:rsid w:val="00A7358D"/>
    <w:rsid w:val="00A75ABC"/>
    <w:rsid w:val="00A7736C"/>
    <w:rsid w:val="00A837D7"/>
    <w:rsid w:val="00A83AE7"/>
    <w:rsid w:val="00A84863"/>
    <w:rsid w:val="00A930D0"/>
    <w:rsid w:val="00A95D95"/>
    <w:rsid w:val="00A977EC"/>
    <w:rsid w:val="00A97C13"/>
    <w:rsid w:val="00AA31E4"/>
    <w:rsid w:val="00AA3FD1"/>
    <w:rsid w:val="00AB05DD"/>
    <w:rsid w:val="00AB0701"/>
    <w:rsid w:val="00AB5D3A"/>
    <w:rsid w:val="00AB5ED3"/>
    <w:rsid w:val="00AB6B0C"/>
    <w:rsid w:val="00AB6B81"/>
    <w:rsid w:val="00AB70CD"/>
    <w:rsid w:val="00AC00F6"/>
    <w:rsid w:val="00AC1C4E"/>
    <w:rsid w:val="00AC2047"/>
    <w:rsid w:val="00AC28C5"/>
    <w:rsid w:val="00AC485C"/>
    <w:rsid w:val="00AC48B3"/>
    <w:rsid w:val="00AC4AA6"/>
    <w:rsid w:val="00AC5B02"/>
    <w:rsid w:val="00AC6BCD"/>
    <w:rsid w:val="00AC7AC9"/>
    <w:rsid w:val="00AD23EF"/>
    <w:rsid w:val="00AD2504"/>
    <w:rsid w:val="00AD361A"/>
    <w:rsid w:val="00AD6A95"/>
    <w:rsid w:val="00AE1920"/>
    <w:rsid w:val="00AF01B3"/>
    <w:rsid w:val="00AF0538"/>
    <w:rsid w:val="00AF0F13"/>
    <w:rsid w:val="00AF65E5"/>
    <w:rsid w:val="00AF7992"/>
    <w:rsid w:val="00B00AB3"/>
    <w:rsid w:val="00B00B4D"/>
    <w:rsid w:val="00B04833"/>
    <w:rsid w:val="00B0498C"/>
    <w:rsid w:val="00B04AB7"/>
    <w:rsid w:val="00B073C8"/>
    <w:rsid w:val="00B12D90"/>
    <w:rsid w:val="00B14C52"/>
    <w:rsid w:val="00B14E7A"/>
    <w:rsid w:val="00B200AA"/>
    <w:rsid w:val="00B21225"/>
    <w:rsid w:val="00B21731"/>
    <w:rsid w:val="00B225F1"/>
    <w:rsid w:val="00B22A7A"/>
    <w:rsid w:val="00B313C2"/>
    <w:rsid w:val="00B36D6C"/>
    <w:rsid w:val="00B40137"/>
    <w:rsid w:val="00B4023A"/>
    <w:rsid w:val="00B419E7"/>
    <w:rsid w:val="00B478C3"/>
    <w:rsid w:val="00B50437"/>
    <w:rsid w:val="00B50A8F"/>
    <w:rsid w:val="00B51BBE"/>
    <w:rsid w:val="00B51D5D"/>
    <w:rsid w:val="00B54D91"/>
    <w:rsid w:val="00B57EE6"/>
    <w:rsid w:val="00B61348"/>
    <w:rsid w:val="00B6263F"/>
    <w:rsid w:val="00B62B66"/>
    <w:rsid w:val="00B64178"/>
    <w:rsid w:val="00B67114"/>
    <w:rsid w:val="00B701E9"/>
    <w:rsid w:val="00B702D7"/>
    <w:rsid w:val="00B71A18"/>
    <w:rsid w:val="00B71C3A"/>
    <w:rsid w:val="00B75449"/>
    <w:rsid w:val="00B7610A"/>
    <w:rsid w:val="00B76FB4"/>
    <w:rsid w:val="00B823F6"/>
    <w:rsid w:val="00B90210"/>
    <w:rsid w:val="00B93463"/>
    <w:rsid w:val="00B94CCB"/>
    <w:rsid w:val="00BA128E"/>
    <w:rsid w:val="00BA26B3"/>
    <w:rsid w:val="00BA3ECD"/>
    <w:rsid w:val="00BA3FFF"/>
    <w:rsid w:val="00BA4003"/>
    <w:rsid w:val="00BA527C"/>
    <w:rsid w:val="00BA67CA"/>
    <w:rsid w:val="00BA6F7B"/>
    <w:rsid w:val="00BB02CB"/>
    <w:rsid w:val="00BB08D4"/>
    <w:rsid w:val="00BB1FB6"/>
    <w:rsid w:val="00BB3C02"/>
    <w:rsid w:val="00BB5D6B"/>
    <w:rsid w:val="00BB7494"/>
    <w:rsid w:val="00BB778C"/>
    <w:rsid w:val="00BC02D4"/>
    <w:rsid w:val="00BC33E0"/>
    <w:rsid w:val="00BC3CF2"/>
    <w:rsid w:val="00BD0FBA"/>
    <w:rsid w:val="00BD2360"/>
    <w:rsid w:val="00BD6A03"/>
    <w:rsid w:val="00BE07A9"/>
    <w:rsid w:val="00BE0A4E"/>
    <w:rsid w:val="00BE1FCF"/>
    <w:rsid w:val="00BE33D1"/>
    <w:rsid w:val="00BF130C"/>
    <w:rsid w:val="00BF4FCD"/>
    <w:rsid w:val="00BF5230"/>
    <w:rsid w:val="00BF6355"/>
    <w:rsid w:val="00BF6656"/>
    <w:rsid w:val="00BF7EE4"/>
    <w:rsid w:val="00C1090C"/>
    <w:rsid w:val="00C23C73"/>
    <w:rsid w:val="00C240C8"/>
    <w:rsid w:val="00C26513"/>
    <w:rsid w:val="00C30A55"/>
    <w:rsid w:val="00C310BF"/>
    <w:rsid w:val="00C34B77"/>
    <w:rsid w:val="00C37F72"/>
    <w:rsid w:val="00C413CF"/>
    <w:rsid w:val="00C420C1"/>
    <w:rsid w:val="00C4525F"/>
    <w:rsid w:val="00C45963"/>
    <w:rsid w:val="00C472B8"/>
    <w:rsid w:val="00C477E6"/>
    <w:rsid w:val="00C51009"/>
    <w:rsid w:val="00C519D4"/>
    <w:rsid w:val="00C53124"/>
    <w:rsid w:val="00C53B2E"/>
    <w:rsid w:val="00C53FFD"/>
    <w:rsid w:val="00C55080"/>
    <w:rsid w:val="00C6160A"/>
    <w:rsid w:val="00C65570"/>
    <w:rsid w:val="00C71D81"/>
    <w:rsid w:val="00C72CBE"/>
    <w:rsid w:val="00C73F7D"/>
    <w:rsid w:val="00C76ECD"/>
    <w:rsid w:val="00C83C75"/>
    <w:rsid w:val="00C84763"/>
    <w:rsid w:val="00C848E6"/>
    <w:rsid w:val="00C848F4"/>
    <w:rsid w:val="00C84E04"/>
    <w:rsid w:val="00C8791A"/>
    <w:rsid w:val="00C901A0"/>
    <w:rsid w:val="00C909AA"/>
    <w:rsid w:val="00C910BE"/>
    <w:rsid w:val="00C922BE"/>
    <w:rsid w:val="00C92F76"/>
    <w:rsid w:val="00C951AE"/>
    <w:rsid w:val="00CA3355"/>
    <w:rsid w:val="00CA5844"/>
    <w:rsid w:val="00CA7415"/>
    <w:rsid w:val="00CB1F17"/>
    <w:rsid w:val="00CB265C"/>
    <w:rsid w:val="00CB48BF"/>
    <w:rsid w:val="00CB5DC3"/>
    <w:rsid w:val="00CB7A07"/>
    <w:rsid w:val="00CC296F"/>
    <w:rsid w:val="00CC457C"/>
    <w:rsid w:val="00CC56A7"/>
    <w:rsid w:val="00CC59BB"/>
    <w:rsid w:val="00CD635D"/>
    <w:rsid w:val="00CD7CED"/>
    <w:rsid w:val="00CE04C7"/>
    <w:rsid w:val="00CF156B"/>
    <w:rsid w:val="00CF1E02"/>
    <w:rsid w:val="00CF2D68"/>
    <w:rsid w:val="00CF329B"/>
    <w:rsid w:val="00CF3939"/>
    <w:rsid w:val="00CF3D2B"/>
    <w:rsid w:val="00CF597A"/>
    <w:rsid w:val="00D009B0"/>
    <w:rsid w:val="00D032D5"/>
    <w:rsid w:val="00D05BAA"/>
    <w:rsid w:val="00D07FB9"/>
    <w:rsid w:val="00D121B8"/>
    <w:rsid w:val="00D13B7A"/>
    <w:rsid w:val="00D22C4B"/>
    <w:rsid w:val="00D230C7"/>
    <w:rsid w:val="00D23E7D"/>
    <w:rsid w:val="00D2405F"/>
    <w:rsid w:val="00D30C7F"/>
    <w:rsid w:val="00D35D2A"/>
    <w:rsid w:val="00D41BA9"/>
    <w:rsid w:val="00D42FBC"/>
    <w:rsid w:val="00D456F3"/>
    <w:rsid w:val="00D46F1E"/>
    <w:rsid w:val="00D50932"/>
    <w:rsid w:val="00D50D82"/>
    <w:rsid w:val="00D52376"/>
    <w:rsid w:val="00D57B9E"/>
    <w:rsid w:val="00D612C2"/>
    <w:rsid w:val="00D64080"/>
    <w:rsid w:val="00D66A2D"/>
    <w:rsid w:val="00D67F56"/>
    <w:rsid w:val="00D745E0"/>
    <w:rsid w:val="00D74CF9"/>
    <w:rsid w:val="00D76AA3"/>
    <w:rsid w:val="00D770EA"/>
    <w:rsid w:val="00D77E37"/>
    <w:rsid w:val="00D80604"/>
    <w:rsid w:val="00D81748"/>
    <w:rsid w:val="00D858F8"/>
    <w:rsid w:val="00D86212"/>
    <w:rsid w:val="00D87596"/>
    <w:rsid w:val="00D9460E"/>
    <w:rsid w:val="00D94D56"/>
    <w:rsid w:val="00D95411"/>
    <w:rsid w:val="00DA086B"/>
    <w:rsid w:val="00DA0B92"/>
    <w:rsid w:val="00DA1531"/>
    <w:rsid w:val="00DA565F"/>
    <w:rsid w:val="00DA5E46"/>
    <w:rsid w:val="00DA7097"/>
    <w:rsid w:val="00DA7E05"/>
    <w:rsid w:val="00DB1007"/>
    <w:rsid w:val="00DB4794"/>
    <w:rsid w:val="00DB4BDE"/>
    <w:rsid w:val="00DB5C3E"/>
    <w:rsid w:val="00DB628E"/>
    <w:rsid w:val="00DC26AB"/>
    <w:rsid w:val="00DC4EFC"/>
    <w:rsid w:val="00DD1761"/>
    <w:rsid w:val="00DD72B9"/>
    <w:rsid w:val="00DD7326"/>
    <w:rsid w:val="00DE1E3E"/>
    <w:rsid w:val="00DE7ABF"/>
    <w:rsid w:val="00DF13DE"/>
    <w:rsid w:val="00DF1838"/>
    <w:rsid w:val="00DF25E0"/>
    <w:rsid w:val="00DF3046"/>
    <w:rsid w:val="00DF348B"/>
    <w:rsid w:val="00DF782C"/>
    <w:rsid w:val="00E00A17"/>
    <w:rsid w:val="00E02139"/>
    <w:rsid w:val="00E023D0"/>
    <w:rsid w:val="00E02BE3"/>
    <w:rsid w:val="00E030A0"/>
    <w:rsid w:val="00E07C32"/>
    <w:rsid w:val="00E124E3"/>
    <w:rsid w:val="00E12907"/>
    <w:rsid w:val="00E14812"/>
    <w:rsid w:val="00E14F74"/>
    <w:rsid w:val="00E15DDE"/>
    <w:rsid w:val="00E173C1"/>
    <w:rsid w:val="00E22AF4"/>
    <w:rsid w:val="00E2339E"/>
    <w:rsid w:val="00E308E8"/>
    <w:rsid w:val="00E3245B"/>
    <w:rsid w:val="00E3707B"/>
    <w:rsid w:val="00E37B2C"/>
    <w:rsid w:val="00E4024B"/>
    <w:rsid w:val="00E44907"/>
    <w:rsid w:val="00E4710C"/>
    <w:rsid w:val="00E50685"/>
    <w:rsid w:val="00E511AA"/>
    <w:rsid w:val="00E563CD"/>
    <w:rsid w:val="00E570D9"/>
    <w:rsid w:val="00E57F6B"/>
    <w:rsid w:val="00E6083B"/>
    <w:rsid w:val="00E6236B"/>
    <w:rsid w:val="00E63512"/>
    <w:rsid w:val="00E641F3"/>
    <w:rsid w:val="00E6679F"/>
    <w:rsid w:val="00E707DE"/>
    <w:rsid w:val="00E71934"/>
    <w:rsid w:val="00E7270E"/>
    <w:rsid w:val="00E7342C"/>
    <w:rsid w:val="00E75FA3"/>
    <w:rsid w:val="00E76875"/>
    <w:rsid w:val="00E76943"/>
    <w:rsid w:val="00E81555"/>
    <w:rsid w:val="00EA010E"/>
    <w:rsid w:val="00EA2DED"/>
    <w:rsid w:val="00EA507B"/>
    <w:rsid w:val="00EA5544"/>
    <w:rsid w:val="00EA790E"/>
    <w:rsid w:val="00EB0E2D"/>
    <w:rsid w:val="00EB1E33"/>
    <w:rsid w:val="00EB2F99"/>
    <w:rsid w:val="00EB4F2B"/>
    <w:rsid w:val="00EB706C"/>
    <w:rsid w:val="00EC0215"/>
    <w:rsid w:val="00EC0881"/>
    <w:rsid w:val="00EC0D7F"/>
    <w:rsid w:val="00EC1E79"/>
    <w:rsid w:val="00EC3AB1"/>
    <w:rsid w:val="00EC488B"/>
    <w:rsid w:val="00EC48B5"/>
    <w:rsid w:val="00EC6D39"/>
    <w:rsid w:val="00ED021A"/>
    <w:rsid w:val="00ED0742"/>
    <w:rsid w:val="00ED579F"/>
    <w:rsid w:val="00EE061A"/>
    <w:rsid w:val="00EE1A36"/>
    <w:rsid w:val="00EE30AF"/>
    <w:rsid w:val="00EE67BB"/>
    <w:rsid w:val="00EE68E4"/>
    <w:rsid w:val="00F01DE7"/>
    <w:rsid w:val="00F0458F"/>
    <w:rsid w:val="00F054DB"/>
    <w:rsid w:val="00F06D97"/>
    <w:rsid w:val="00F1022F"/>
    <w:rsid w:val="00F11A47"/>
    <w:rsid w:val="00F134B1"/>
    <w:rsid w:val="00F13738"/>
    <w:rsid w:val="00F169C3"/>
    <w:rsid w:val="00F20FF1"/>
    <w:rsid w:val="00F25205"/>
    <w:rsid w:val="00F3106C"/>
    <w:rsid w:val="00F311EA"/>
    <w:rsid w:val="00F31987"/>
    <w:rsid w:val="00F352CD"/>
    <w:rsid w:val="00F35457"/>
    <w:rsid w:val="00F3595B"/>
    <w:rsid w:val="00F36398"/>
    <w:rsid w:val="00F4097C"/>
    <w:rsid w:val="00F426A6"/>
    <w:rsid w:val="00F429FD"/>
    <w:rsid w:val="00F449C4"/>
    <w:rsid w:val="00F502B8"/>
    <w:rsid w:val="00F52469"/>
    <w:rsid w:val="00F538D9"/>
    <w:rsid w:val="00F5531F"/>
    <w:rsid w:val="00F56399"/>
    <w:rsid w:val="00F6510D"/>
    <w:rsid w:val="00F67C1E"/>
    <w:rsid w:val="00F7213B"/>
    <w:rsid w:val="00F725B2"/>
    <w:rsid w:val="00F7298D"/>
    <w:rsid w:val="00F746D3"/>
    <w:rsid w:val="00F7750A"/>
    <w:rsid w:val="00F80006"/>
    <w:rsid w:val="00F80084"/>
    <w:rsid w:val="00F82372"/>
    <w:rsid w:val="00F87961"/>
    <w:rsid w:val="00F92045"/>
    <w:rsid w:val="00F95676"/>
    <w:rsid w:val="00FA0979"/>
    <w:rsid w:val="00FA59E0"/>
    <w:rsid w:val="00FB1021"/>
    <w:rsid w:val="00FB1553"/>
    <w:rsid w:val="00FB3225"/>
    <w:rsid w:val="00FB55DC"/>
    <w:rsid w:val="00FB6074"/>
    <w:rsid w:val="00FB6F6A"/>
    <w:rsid w:val="00FC3EBE"/>
    <w:rsid w:val="00FC47F9"/>
    <w:rsid w:val="00FC66C2"/>
    <w:rsid w:val="00FC6FA8"/>
    <w:rsid w:val="00FD2470"/>
    <w:rsid w:val="00FD26B5"/>
    <w:rsid w:val="00FD5823"/>
    <w:rsid w:val="00FE0F3B"/>
    <w:rsid w:val="00FE1C27"/>
    <w:rsid w:val="00FE215B"/>
    <w:rsid w:val="00FE271F"/>
    <w:rsid w:val="00FE5C31"/>
    <w:rsid w:val="00FE68B1"/>
    <w:rsid w:val="00FE79A2"/>
    <w:rsid w:val="00FF25BA"/>
    <w:rsid w:val="00FF27FB"/>
    <w:rsid w:val="00FF2C67"/>
    <w:rsid w:val="00FF40E1"/>
    <w:rsid w:val="00FF6E94"/>
    <w:rsid w:val="00FF7195"/>
    <w:rsid w:val="00FF748B"/>
    <w:rsid w:val="00FF7623"/>
    <w:rsid w:val="01104A68"/>
    <w:rsid w:val="01110824"/>
    <w:rsid w:val="011E0236"/>
    <w:rsid w:val="017E6F26"/>
    <w:rsid w:val="01C963F3"/>
    <w:rsid w:val="02726149"/>
    <w:rsid w:val="027777F1"/>
    <w:rsid w:val="028A3334"/>
    <w:rsid w:val="02D539C6"/>
    <w:rsid w:val="02E334E5"/>
    <w:rsid w:val="03004097"/>
    <w:rsid w:val="03092820"/>
    <w:rsid w:val="03156E0E"/>
    <w:rsid w:val="034D6BB0"/>
    <w:rsid w:val="03590663"/>
    <w:rsid w:val="0361440A"/>
    <w:rsid w:val="037B760F"/>
    <w:rsid w:val="03E017D2"/>
    <w:rsid w:val="03E049FD"/>
    <w:rsid w:val="040F45F7"/>
    <w:rsid w:val="045D72C7"/>
    <w:rsid w:val="04BE5424"/>
    <w:rsid w:val="04D330E5"/>
    <w:rsid w:val="04D46D43"/>
    <w:rsid w:val="04E6106A"/>
    <w:rsid w:val="050415D9"/>
    <w:rsid w:val="05343AA8"/>
    <w:rsid w:val="056D0D4B"/>
    <w:rsid w:val="05706602"/>
    <w:rsid w:val="05CC15B8"/>
    <w:rsid w:val="05D5270B"/>
    <w:rsid w:val="060101C2"/>
    <w:rsid w:val="06090B03"/>
    <w:rsid w:val="066E52ED"/>
    <w:rsid w:val="06753A0B"/>
    <w:rsid w:val="0675510C"/>
    <w:rsid w:val="06B64A6C"/>
    <w:rsid w:val="081128A2"/>
    <w:rsid w:val="08850B9A"/>
    <w:rsid w:val="08B03543"/>
    <w:rsid w:val="08B46C71"/>
    <w:rsid w:val="08C50C45"/>
    <w:rsid w:val="091B44D1"/>
    <w:rsid w:val="09223606"/>
    <w:rsid w:val="09254E86"/>
    <w:rsid w:val="09356779"/>
    <w:rsid w:val="09A64AB8"/>
    <w:rsid w:val="09BE4651"/>
    <w:rsid w:val="09C63218"/>
    <w:rsid w:val="0A697B55"/>
    <w:rsid w:val="0ACD267C"/>
    <w:rsid w:val="0AD538D8"/>
    <w:rsid w:val="0C0727E4"/>
    <w:rsid w:val="0C2C580F"/>
    <w:rsid w:val="0C2E6115"/>
    <w:rsid w:val="0C4E23EE"/>
    <w:rsid w:val="0C673E03"/>
    <w:rsid w:val="0C7E7DDA"/>
    <w:rsid w:val="0CCD66AA"/>
    <w:rsid w:val="0CEE372F"/>
    <w:rsid w:val="0D18615D"/>
    <w:rsid w:val="0D5A43A4"/>
    <w:rsid w:val="0DA064A0"/>
    <w:rsid w:val="0DB925C0"/>
    <w:rsid w:val="0DD2242D"/>
    <w:rsid w:val="0DE325EB"/>
    <w:rsid w:val="0E7D43C6"/>
    <w:rsid w:val="0EF1174B"/>
    <w:rsid w:val="0F474C5B"/>
    <w:rsid w:val="0F60173A"/>
    <w:rsid w:val="10344E31"/>
    <w:rsid w:val="10A00E68"/>
    <w:rsid w:val="10F55427"/>
    <w:rsid w:val="110725F5"/>
    <w:rsid w:val="11345C9D"/>
    <w:rsid w:val="11687282"/>
    <w:rsid w:val="11A622AD"/>
    <w:rsid w:val="11F930CD"/>
    <w:rsid w:val="120174E4"/>
    <w:rsid w:val="121409B6"/>
    <w:rsid w:val="12665599"/>
    <w:rsid w:val="12B707BA"/>
    <w:rsid w:val="12D62551"/>
    <w:rsid w:val="12FE4854"/>
    <w:rsid w:val="130152C1"/>
    <w:rsid w:val="1318751C"/>
    <w:rsid w:val="131D4CF2"/>
    <w:rsid w:val="13302832"/>
    <w:rsid w:val="13BC75E0"/>
    <w:rsid w:val="13EE2638"/>
    <w:rsid w:val="13F750E0"/>
    <w:rsid w:val="13FA078A"/>
    <w:rsid w:val="140D3EAB"/>
    <w:rsid w:val="144666D3"/>
    <w:rsid w:val="14B404CB"/>
    <w:rsid w:val="14B77E7F"/>
    <w:rsid w:val="14BC4CCA"/>
    <w:rsid w:val="1505553D"/>
    <w:rsid w:val="15257FB5"/>
    <w:rsid w:val="157D1577"/>
    <w:rsid w:val="15D53161"/>
    <w:rsid w:val="15D71066"/>
    <w:rsid w:val="16060F52"/>
    <w:rsid w:val="16470173"/>
    <w:rsid w:val="16D805E0"/>
    <w:rsid w:val="17192449"/>
    <w:rsid w:val="174B2FAF"/>
    <w:rsid w:val="17700376"/>
    <w:rsid w:val="17712A16"/>
    <w:rsid w:val="177C25EB"/>
    <w:rsid w:val="17834B3C"/>
    <w:rsid w:val="17A24AF0"/>
    <w:rsid w:val="17E05DED"/>
    <w:rsid w:val="17F453F5"/>
    <w:rsid w:val="17FF4B83"/>
    <w:rsid w:val="18027B12"/>
    <w:rsid w:val="180475EA"/>
    <w:rsid w:val="18360A65"/>
    <w:rsid w:val="18694035"/>
    <w:rsid w:val="18A440F7"/>
    <w:rsid w:val="18D771F0"/>
    <w:rsid w:val="19390DE6"/>
    <w:rsid w:val="19DE2E40"/>
    <w:rsid w:val="1A0720A8"/>
    <w:rsid w:val="1A50268B"/>
    <w:rsid w:val="1AAE21D3"/>
    <w:rsid w:val="1AF83E57"/>
    <w:rsid w:val="1B6C4C9B"/>
    <w:rsid w:val="1C004902"/>
    <w:rsid w:val="1C3962D3"/>
    <w:rsid w:val="1C40141B"/>
    <w:rsid w:val="1C795C1C"/>
    <w:rsid w:val="1C9E45E2"/>
    <w:rsid w:val="1CD2422E"/>
    <w:rsid w:val="1CE86A87"/>
    <w:rsid w:val="1D060286"/>
    <w:rsid w:val="1D1231FB"/>
    <w:rsid w:val="1D4A0758"/>
    <w:rsid w:val="1D647EEF"/>
    <w:rsid w:val="1D852A21"/>
    <w:rsid w:val="1DF1193F"/>
    <w:rsid w:val="1E1C5D44"/>
    <w:rsid w:val="1E20286B"/>
    <w:rsid w:val="1E2B32E4"/>
    <w:rsid w:val="1E5324FF"/>
    <w:rsid w:val="1E997498"/>
    <w:rsid w:val="1EA70F9D"/>
    <w:rsid w:val="1EDF295B"/>
    <w:rsid w:val="1EFD0E7E"/>
    <w:rsid w:val="1EFE3EC5"/>
    <w:rsid w:val="1F0C6663"/>
    <w:rsid w:val="1F9F033C"/>
    <w:rsid w:val="1FAB0A8F"/>
    <w:rsid w:val="1FD86919"/>
    <w:rsid w:val="201F3FB2"/>
    <w:rsid w:val="20205C43"/>
    <w:rsid w:val="203D202F"/>
    <w:rsid w:val="20782F99"/>
    <w:rsid w:val="207A0B2C"/>
    <w:rsid w:val="207B074D"/>
    <w:rsid w:val="20962D6B"/>
    <w:rsid w:val="2097165D"/>
    <w:rsid w:val="20A0436C"/>
    <w:rsid w:val="20BF4ACA"/>
    <w:rsid w:val="20FD5B35"/>
    <w:rsid w:val="211D28AB"/>
    <w:rsid w:val="21570ECE"/>
    <w:rsid w:val="21C16085"/>
    <w:rsid w:val="21E83DB9"/>
    <w:rsid w:val="223026CE"/>
    <w:rsid w:val="22303204"/>
    <w:rsid w:val="22947F00"/>
    <w:rsid w:val="22990DAD"/>
    <w:rsid w:val="22A73DF1"/>
    <w:rsid w:val="22BD7176"/>
    <w:rsid w:val="22CE4948"/>
    <w:rsid w:val="22F64197"/>
    <w:rsid w:val="23164DB9"/>
    <w:rsid w:val="232C7373"/>
    <w:rsid w:val="23357B6C"/>
    <w:rsid w:val="234378C3"/>
    <w:rsid w:val="238F143B"/>
    <w:rsid w:val="23B8294B"/>
    <w:rsid w:val="23CB4D3A"/>
    <w:rsid w:val="23D622FE"/>
    <w:rsid w:val="23D700A4"/>
    <w:rsid w:val="23DD46FB"/>
    <w:rsid w:val="23E04BCD"/>
    <w:rsid w:val="23E46C65"/>
    <w:rsid w:val="24297A44"/>
    <w:rsid w:val="245B32B8"/>
    <w:rsid w:val="247D6D03"/>
    <w:rsid w:val="24985BA6"/>
    <w:rsid w:val="24A75227"/>
    <w:rsid w:val="24E309C3"/>
    <w:rsid w:val="25BC1C48"/>
    <w:rsid w:val="25C00201"/>
    <w:rsid w:val="25E22D30"/>
    <w:rsid w:val="25EC63B3"/>
    <w:rsid w:val="262A4E03"/>
    <w:rsid w:val="266247A4"/>
    <w:rsid w:val="26672398"/>
    <w:rsid w:val="26D66D39"/>
    <w:rsid w:val="26F42D19"/>
    <w:rsid w:val="270B0992"/>
    <w:rsid w:val="270B7B32"/>
    <w:rsid w:val="27413565"/>
    <w:rsid w:val="27457C3A"/>
    <w:rsid w:val="274A563C"/>
    <w:rsid w:val="276E2296"/>
    <w:rsid w:val="277D6A6A"/>
    <w:rsid w:val="2783223C"/>
    <w:rsid w:val="27893DAB"/>
    <w:rsid w:val="278A0526"/>
    <w:rsid w:val="27D86595"/>
    <w:rsid w:val="287C56BE"/>
    <w:rsid w:val="289F0C95"/>
    <w:rsid w:val="28BD107E"/>
    <w:rsid w:val="294F4B81"/>
    <w:rsid w:val="29540CA8"/>
    <w:rsid w:val="297337C5"/>
    <w:rsid w:val="29AA157C"/>
    <w:rsid w:val="29C4295D"/>
    <w:rsid w:val="29DD068B"/>
    <w:rsid w:val="2A07664A"/>
    <w:rsid w:val="2A1965C9"/>
    <w:rsid w:val="2A5C1303"/>
    <w:rsid w:val="2A5F7045"/>
    <w:rsid w:val="2A7F5292"/>
    <w:rsid w:val="2A866380"/>
    <w:rsid w:val="2B075286"/>
    <w:rsid w:val="2B286BC5"/>
    <w:rsid w:val="2B287437"/>
    <w:rsid w:val="2B797443"/>
    <w:rsid w:val="2BCA41C3"/>
    <w:rsid w:val="2BE540A2"/>
    <w:rsid w:val="2C2D2523"/>
    <w:rsid w:val="2C7B0D11"/>
    <w:rsid w:val="2C9C7E62"/>
    <w:rsid w:val="2CAF5C60"/>
    <w:rsid w:val="2D3E1194"/>
    <w:rsid w:val="2DB44F79"/>
    <w:rsid w:val="2DE511DB"/>
    <w:rsid w:val="2DE7182C"/>
    <w:rsid w:val="2DEA4B73"/>
    <w:rsid w:val="2E122CEB"/>
    <w:rsid w:val="2E402CEA"/>
    <w:rsid w:val="2E75481E"/>
    <w:rsid w:val="2E7822A8"/>
    <w:rsid w:val="2E8C3F95"/>
    <w:rsid w:val="2EC41B6D"/>
    <w:rsid w:val="2EE31FF3"/>
    <w:rsid w:val="2EEF2EAE"/>
    <w:rsid w:val="2F1C72B3"/>
    <w:rsid w:val="2F5166FF"/>
    <w:rsid w:val="2F527179"/>
    <w:rsid w:val="2F57706B"/>
    <w:rsid w:val="2F7F7366"/>
    <w:rsid w:val="2F8F0A7F"/>
    <w:rsid w:val="2FCA46BE"/>
    <w:rsid w:val="2FFF61B8"/>
    <w:rsid w:val="30226B4B"/>
    <w:rsid w:val="30234671"/>
    <w:rsid w:val="305067EA"/>
    <w:rsid w:val="30914A5D"/>
    <w:rsid w:val="310C3EFD"/>
    <w:rsid w:val="31166F84"/>
    <w:rsid w:val="31496359"/>
    <w:rsid w:val="315F16D9"/>
    <w:rsid w:val="31670E20"/>
    <w:rsid w:val="316D0A81"/>
    <w:rsid w:val="317038E6"/>
    <w:rsid w:val="317F3D55"/>
    <w:rsid w:val="31921AAF"/>
    <w:rsid w:val="31A14FBE"/>
    <w:rsid w:val="31EA38E5"/>
    <w:rsid w:val="32026C34"/>
    <w:rsid w:val="321426DB"/>
    <w:rsid w:val="32343CE1"/>
    <w:rsid w:val="328C1AF5"/>
    <w:rsid w:val="3296737C"/>
    <w:rsid w:val="32A1377B"/>
    <w:rsid w:val="33185DF3"/>
    <w:rsid w:val="33363D86"/>
    <w:rsid w:val="33563502"/>
    <w:rsid w:val="337F76E3"/>
    <w:rsid w:val="338B4A07"/>
    <w:rsid w:val="33C9718C"/>
    <w:rsid w:val="33DC1707"/>
    <w:rsid w:val="34027414"/>
    <w:rsid w:val="340F6015"/>
    <w:rsid w:val="344E7F60"/>
    <w:rsid w:val="34AF0118"/>
    <w:rsid w:val="34B94F84"/>
    <w:rsid w:val="352C37FC"/>
    <w:rsid w:val="357240D1"/>
    <w:rsid w:val="35801CF9"/>
    <w:rsid w:val="35A00889"/>
    <w:rsid w:val="35B77D36"/>
    <w:rsid w:val="35BC2E7F"/>
    <w:rsid w:val="35F45865"/>
    <w:rsid w:val="35FE3BB6"/>
    <w:rsid w:val="3641502C"/>
    <w:rsid w:val="365A2E21"/>
    <w:rsid w:val="367D2D2D"/>
    <w:rsid w:val="368404AC"/>
    <w:rsid w:val="369E2DCB"/>
    <w:rsid w:val="36A26618"/>
    <w:rsid w:val="36B92C3F"/>
    <w:rsid w:val="36E42DAC"/>
    <w:rsid w:val="36EA2EF3"/>
    <w:rsid w:val="376406E3"/>
    <w:rsid w:val="37823F12"/>
    <w:rsid w:val="378C1CD2"/>
    <w:rsid w:val="37B66FDA"/>
    <w:rsid w:val="38043FCA"/>
    <w:rsid w:val="38130D6E"/>
    <w:rsid w:val="38282F98"/>
    <w:rsid w:val="383C036C"/>
    <w:rsid w:val="38514471"/>
    <w:rsid w:val="38603BA0"/>
    <w:rsid w:val="38683569"/>
    <w:rsid w:val="387737AC"/>
    <w:rsid w:val="38787C50"/>
    <w:rsid w:val="38832151"/>
    <w:rsid w:val="39290F17"/>
    <w:rsid w:val="3986014B"/>
    <w:rsid w:val="39A3161D"/>
    <w:rsid w:val="39A520F5"/>
    <w:rsid w:val="39A8260E"/>
    <w:rsid w:val="39D228FC"/>
    <w:rsid w:val="3A116069"/>
    <w:rsid w:val="3A19285C"/>
    <w:rsid w:val="3A211CFC"/>
    <w:rsid w:val="3A3417BD"/>
    <w:rsid w:val="3ABB02C8"/>
    <w:rsid w:val="3AEB792A"/>
    <w:rsid w:val="3AFA0359"/>
    <w:rsid w:val="3B067A84"/>
    <w:rsid w:val="3B0D2CD2"/>
    <w:rsid w:val="3B0F39CB"/>
    <w:rsid w:val="3B2319C9"/>
    <w:rsid w:val="3B5316CB"/>
    <w:rsid w:val="3B6A21A2"/>
    <w:rsid w:val="3B734975"/>
    <w:rsid w:val="3B91158F"/>
    <w:rsid w:val="3BE04A79"/>
    <w:rsid w:val="3BF14CD5"/>
    <w:rsid w:val="3C047A4D"/>
    <w:rsid w:val="3C0B0312"/>
    <w:rsid w:val="3C5630CE"/>
    <w:rsid w:val="3C8455ED"/>
    <w:rsid w:val="3C990D26"/>
    <w:rsid w:val="3CA47A52"/>
    <w:rsid w:val="3CCA2006"/>
    <w:rsid w:val="3D09297A"/>
    <w:rsid w:val="3D396C7C"/>
    <w:rsid w:val="3D9248A5"/>
    <w:rsid w:val="3D9E3AC9"/>
    <w:rsid w:val="3D9F7E9A"/>
    <w:rsid w:val="3E0F2171"/>
    <w:rsid w:val="3E6C0A59"/>
    <w:rsid w:val="3E894F3B"/>
    <w:rsid w:val="3EB60D6B"/>
    <w:rsid w:val="3EDA6843"/>
    <w:rsid w:val="3EDF5E13"/>
    <w:rsid w:val="3EF617FB"/>
    <w:rsid w:val="3F056B93"/>
    <w:rsid w:val="3F2C62F6"/>
    <w:rsid w:val="3F3A3A46"/>
    <w:rsid w:val="3F6F78D3"/>
    <w:rsid w:val="3FBF0688"/>
    <w:rsid w:val="3FE32D99"/>
    <w:rsid w:val="40045144"/>
    <w:rsid w:val="401468DF"/>
    <w:rsid w:val="401F4E55"/>
    <w:rsid w:val="40892B23"/>
    <w:rsid w:val="408F4FF3"/>
    <w:rsid w:val="40A75C3C"/>
    <w:rsid w:val="40FB14B5"/>
    <w:rsid w:val="411A4D12"/>
    <w:rsid w:val="411E4E48"/>
    <w:rsid w:val="414C48A8"/>
    <w:rsid w:val="41686388"/>
    <w:rsid w:val="41B76D82"/>
    <w:rsid w:val="41BD1473"/>
    <w:rsid w:val="41E73751"/>
    <w:rsid w:val="41EE3158"/>
    <w:rsid w:val="42022EAD"/>
    <w:rsid w:val="42814EAC"/>
    <w:rsid w:val="42944EB0"/>
    <w:rsid w:val="429D1C07"/>
    <w:rsid w:val="42ED123B"/>
    <w:rsid w:val="430B7913"/>
    <w:rsid w:val="4311195E"/>
    <w:rsid w:val="436820EB"/>
    <w:rsid w:val="43E443EC"/>
    <w:rsid w:val="441E71D2"/>
    <w:rsid w:val="44242FCC"/>
    <w:rsid w:val="445C4E37"/>
    <w:rsid w:val="446612A5"/>
    <w:rsid w:val="447A474F"/>
    <w:rsid w:val="44884D98"/>
    <w:rsid w:val="44A26A7F"/>
    <w:rsid w:val="44CC2DC5"/>
    <w:rsid w:val="451918B0"/>
    <w:rsid w:val="4541586E"/>
    <w:rsid w:val="45575091"/>
    <w:rsid w:val="457873F2"/>
    <w:rsid w:val="459C78D2"/>
    <w:rsid w:val="45AF1B15"/>
    <w:rsid w:val="45F4468E"/>
    <w:rsid w:val="45F46B5B"/>
    <w:rsid w:val="464E1FF0"/>
    <w:rsid w:val="465313B5"/>
    <w:rsid w:val="465E7699"/>
    <w:rsid w:val="466C4764"/>
    <w:rsid w:val="46A77952"/>
    <w:rsid w:val="46AF3DFB"/>
    <w:rsid w:val="46BE36AC"/>
    <w:rsid w:val="46BF2520"/>
    <w:rsid w:val="46C6602A"/>
    <w:rsid w:val="46F10BCE"/>
    <w:rsid w:val="47571378"/>
    <w:rsid w:val="47597176"/>
    <w:rsid w:val="479A2BE6"/>
    <w:rsid w:val="479B1265"/>
    <w:rsid w:val="48131D9D"/>
    <w:rsid w:val="48164D90"/>
    <w:rsid w:val="48862D2D"/>
    <w:rsid w:val="48B72925"/>
    <w:rsid w:val="48DF402C"/>
    <w:rsid w:val="48ED237B"/>
    <w:rsid w:val="49042553"/>
    <w:rsid w:val="491F0FF4"/>
    <w:rsid w:val="4933371F"/>
    <w:rsid w:val="495356DE"/>
    <w:rsid w:val="49B06B1E"/>
    <w:rsid w:val="49EF3AEA"/>
    <w:rsid w:val="4A4E5D6D"/>
    <w:rsid w:val="4AD1374F"/>
    <w:rsid w:val="4ADB7BCB"/>
    <w:rsid w:val="4AE5545E"/>
    <w:rsid w:val="4B320132"/>
    <w:rsid w:val="4B5D0AFA"/>
    <w:rsid w:val="4B8C6DAB"/>
    <w:rsid w:val="4BB40B47"/>
    <w:rsid w:val="4C00596D"/>
    <w:rsid w:val="4C0C0983"/>
    <w:rsid w:val="4C322A55"/>
    <w:rsid w:val="4C3503D3"/>
    <w:rsid w:val="4C377A2F"/>
    <w:rsid w:val="4C895770"/>
    <w:rsid w:val="4CD02C84"/>
    <w:rsid w:val="4CD15CFE"/>
    <w:rsid w:val="4D4915CF"/>
    <w:rsid w:val="4DEB6377"/>
    <w:rsid w:val="4DF977F1"/>
    <w:rsid w:val="4E1D27C4"/>
    <w:rsid w:val="4E39001B"/>
    <w:rsid w:val="4E3F2D9E"/>
    <w:rsid w:val="4E4A6619"/>
    <w:rsid w:val="4E6B3C02"/>
    <w:rsid w:val="4E757366"/>
    <w:rsid w:val="4E845DD1"/>
    <w:rsid w:val="4E86699F"/>
    <w:rsid w:val="4EDB1F03"/>
    <w:rsid w:val="4EE47F37"/>
    <w:rsid w:val="4F075048"/>
    <w:rsid w:val="4F082BE9"/>
    <w:rsid w:val="4F1D4B3B"/>
    <w:rsid w:val="4F7D3946"/>
    <w:rsid w:val="4F825911"/>
    <w:rsid w:val="4F9273F2"/>
    <w:rsid w:val="4FB96415"/>
    <w:rsid w:val="4FF17377"/>
    <w:rsid w:val="50232963"/>
    <w:rsid w:val="50267B3A"/>
    <w:rsid w:val="507627D9"/>
    <w:rsid w:val="509357E0"/>
    <w:rsid w:val="50937737"/>
    <w:rsid w:val="50A1454A"/>
    <w:rsid w:val="50B952B6"/>
    <w:rsid w:val="50E86109"/>
    <w:rsid w:val="50F3504C"/>
    <w:rsid w:val="510362CE"/>
    <w:rsid w:val="51750D79"/>
    <w:rsid w:val="51A52410"/>
    <w:rsid w:val="51BB25F2"/>
    <w:rsid w:val="51BF3CBB"/>
    <w:rsid w:val="52152393"/>
    <w:rsid w:val="52206678"/>
    <w:rsid w:val="52362EE3"/>
    <w:rsid w:val="528154FB"/>
    <w:rsid w:val="52AF02BB"/>
    <w:rsid w:val="52B07B8F"/>
    <w:rsid w:val="52BD13F3"/>
    <w:rsid w:val="5369290D"/>
    <w:rsid w:val="537F24A3"/>
    <w:rsid w:val="53C40DE0"/>
    <w:rsid w:val="53C87D08"/>
    <w:rsid w:val="53E9134A"/>
    <w:rsid w:val="53EC109A"/>
    <w:rsid w:val="53F266B1"/>
    <w:rsid w:val="54201C28"/>
    <w:rsid w:val="54402D63"/>
    <w:rsid w:val="54510107"/>
    <w:rsid w:val="545C6AF1"/>
    <w:rsid w:val="54A37604"/>
    <w:rsid w:val="54C238B9"/>
    <w:rsid w:val="54CC233F"/>
    <w:rsid w:val="54D75CEE"/>
    <w:rsid w:val="54E80057"/>
    <w:rsid w:val="54F23E92"/>
    <w:rsid w:val="5513742F"/>
    <w:rsid w:val="55CE0A58"/>
    <w:rsid w:val="55F53C5F"/>
    <w:rsid w:val="561B142B"/>
    <w:rsid w:val="56366B9C"/>
    <w:rsid w:val="566C2A8D"/>
    <w:rsid w:val="566E551E"/>
    <w:rsid w:val="56AA7244"/>
    <w:rsid w:val="56D26326"/>
    <w:rsid w:val="56D71B8E"/>
    <w:rsid w:val="56D81BFA"/>
    <w:rsid w:val="56EE00FF"/>
    <w:rsid w:val="56EF6ED8"/>
    <w:rsid w:val="56F43366"/>
    <w:rsid w:val="572F30F6"/>
    <w:rsid w:val="57340D8E"/>
    <w:rsid w:val="57923D07"/>
    <w:rsid w:val="579835FC"/>
    <w:rsid w:val="57D85EFA"/>
    <w:rsid w:val="57DE5369"/>
    <w:rsid w:val="5818420C"/>
    <w:rsid w:val="5835523D"/>
    <w:rsid w:val="587A4EC7"/>
    <w:rsid w:val="588E2459"/>
    <w:rsid w:val="58931AE5"/>
    <w:rsid w:val="589500E7"/>
    <w:rsid w:val="58D2085F"/>
    <w:rsid w:val="58EE31BF"/>
    <w:rsid w:val="5914301D"/>
    <w:rsid w:val="599379C4"/>
    <w:rsid w:val="59A42A61"/>
    <w:rsid w:val="59C7413C"/>
    <w:rsid w:val="59C809FE"/>
    <w:rsid w:val="59CC681D"/>
    <w:rsid w:val="59CE6BED"/>
    <w:rsid w:val="59D9651C"/>
    <w:rsid w:val="5A330D74"/>
    <w:rsid w:val="5A6F4AB9"/>
    <w:rsid w:val="5A772587"/>
    <w:rsid w:val="5A8D1BDF"/>
    <w:rsid w:val="5A8E052B"/>
    <w:rsid w:val="5A9009D2"/>
    <w:rsid w:val="5AFB5108"/>
    <w:rsid w:val="5B136A8F"/>
    <w:rsid w:val="5B2E717E"/>
    <w:rsid w:val="5B357940"/>
    <w:rsid w:val="5B9C7785"/>
    <w:rsid w:val="5C2D3FFE"/>
    <w:rsid w:val="5C9811A6"/>
    <w:rsid w:val="5D156358"/>
    <w:rsid w:val="5D1B313B"/>
    <w:rsid w:val="5D4C7228"/>
    <w:rsid w:val="5D6D249A"/>
    <w:rsid w:val="5D88767E"/>
    <w:rsid w:val="5DA9406D"/>
    <w:rsid w:val="5DBB434A"/>
    <w:rsid w:val="5DCF4033"/>
    <w:rsid w:val="5DE447E2"/>
    <w:rsid w:val="5E0C4813"/>
    <w:rsid w:val="5E910B3F"/>
    <w:rsid w:val="5EBD7EB0"/>
    <w:rsid w:val="5ED05841"/>
    <w:rsid w:val="5F702B80"/>
    <w:rsid w:val="5F887F6E"/>
    <w:rsid w:val="5F9A0577"/>
    <w:rsid w:val="5FA82426"/>
    <w:rsid w:val="6048662E"/>
    <w:rsid w:val="60724647"/>
    <w:rsid w:val="607726B2"/>
    <w:rsid w:val="60A87BF0"/>
    <w:rsid w:val="60DD5FF3"/>
    <w:rsid w:val="60FE4453"/>
    <w:rsid w:val="61302D51"/>
    <w:rsid w:val="613E7513"/>
    <w:rsid w:val="61564461"/>
    <w:rsid w:val="6196611C"/>
    <w:rsid w:val="61E92E67"/>
    <w:rsid w:val="622B6B98"/>
    <w:rsid w:val="624B4A07"/>
    <w:rsid w:val="628C0BDB"/>
    <w:rsid w:val="62A728FC"/>
    <w:rsid w:val="62AB5630"/>
    <w:rsid w:val="62CE2E28"/>
    <w:rsid w:val="62D032DE"/>
    <w:rsid w:val="62EF49D3"/>
    <w:rsid w:val="632223E3"/>
    <w:rsid w:val="63270F9D"/>
    <w:rsid w:val="632B74E9"/>
    <w:rsid w:val="63865643"/>
    <w:rsid w:val="6388493C"/>
    <w:rsid w:val="638F0D25"/>
    <w:rsid w:val="63D129A5"/>
    <w:rsid w:val="64332F2A"/>
    <w:rsid w:val="64407776"/>
    <w:rsid w:val="644D21DC"/>
    <w:rsid w:val="649D78DA"/>
    <w:rsid w:val="64C318E9"/>
    <w:rsid w:val="64CB0ED6"/>
    <w:rsid w:val="64CF7FB7"/>
    <w:rsid w:val="64D126B8"/>
    <w:rsid w:val="64FC218C"/>
    <w:rsid w:val="652277AE"/>
    <w:rsid w:val="659C46CE"/>
    <w:rsid w:val="65BB7AE2"/>
    <w:rsid w:val="65CE1295"/>
    <w:rsid w:val="65CE596E"/>
    <w:rsid w:val="6603272B"/>
    <w:rsid w:val="662C1C7F"/>
    <w:rsid w:val="66464067"/>
    <w:rsid w:val="668C2052"/>
    <w:rsid w:val="66AC7F1A"/>
    <w:rsid w:val="66AD170A"/>
    <w:rsid w:val="66B52AF9"/>
    <w:rsid w:val="66D141F0"/>
    <w:rsid w:val="671234B1"/>
    <w:rsid w:val="674E0176"/>
    <w:rsid w:val="679B57F3"/>
    <w:rsid w:val="67AA62D9"/>
    <w:rsid w:val="67B11F87"/>
    <w:rsid w:val="683B180A"/>
    <w:rsid w:val="68481A14"/>
    <w:rsid w:val="686E5CB9"/>
    <w:rsid w:val="68A809A5"/>
    <w:rsid w:val="68CB53E3"/>
    <w:rsid w:val="6968677A"/>
    <w:rsid w:val="699443C9"/>
    <w:rsid w:val="69A41815"/>
    <w:rsid w:val="69BA15C7"/>
    <w:rsid w:val="69DA7573"/>
    <w:rsid w:val="69EA4600"/>
    <w:rsid w:val="69F316CA"/>
    <w:rsid w:val="6A817E5C"/>
    <w:rsid w:val="6ACF2CF2"/>
    <w:rsid w:val="6ADF6E0B"/>
    <w:rsid w:val="6AF179D8"/>
    <w:rsid w:val="6AF9611F"/>
    <w:rsid w:val="6B030D4C"/>
    <w:rsid w:val="6BC94684"/>
    <w:rsid w:val="6C54495C"/>
    <w:rsid w:val="6C7843B5"/>
    <w:rsid w:val="6D382CA4"/>
    <w:rsid w:val="6D42235F"/>
    <w:rsid w:val="6D94212F"/>
    <w:rsid w:val="6DC92ECC"/>
    <w:rsid w:val="6E2D05A3"/>
    <w:rsid w:val="6E313E22"/>
    <w:rsid w:val="6E3D0941"/>
    <w:rsid w:val="6E6C6677"/>
    <w:rsid w:val="6E7078D1"/>
    <w:rsid w:val="6E8A697A"/>
    <w:rsid w:val="6EB855F3"/>
    <w:rsid w:val="6EBA7973"/>
    <w:rsid w:val="6EFE2EA4"/>
    <w:rsid w:val="6F0A57A2"/>
    <w:rsid w:val="6F437969"/>
    <w:rsid w:val="6F542CFB"/>
    <w:rsid w:val="6F5A2F04"/>
    <w:rsid w:val="6F7C589A"/>
    <w:rsid w:val="6F7F5F3B"/>
    <w:rsid w:val="6F930361"/>
    <w:rsid w:val="7046637F"/>
    <w:rsid w:val="70B56098"/>
    <w:rsid w:val="70F809ED"/>
    <w:rsid w:val="71066C3B"/>
    <w:rsid w:val="71402DDD"/>
    <w:rsid w:val="71995F66"/>
    <w:rsid w:val="71A054CC"/>
    <w:rsid w:val="71FD4ED5"/>
    <w:rsid w:val="721C3F61"/>
    <w:rsid w:val="72D729DB"/>
    <w:rsid w:val="72F62F44"/>
    <w:rsid w:val="73306456"/>
    <w:rsid w:val="73F97190"/>
    <w:rsid w:val="74432492"/>
    <w:rsid w:val="745D5E3A"/>
    <w:rsid w:val="746A7BBF"/>
    <w:rsid w:val="746D196C"/>
    <w:rsid w:val="748A7DE8"/>
    <w:rsid w:val="74BE4295"/>
    <w:rsid w:val="74DB4547"/>
    <w:rsid w:val="74F10414"/>
    <w:rsid w:val="74F235EF"/>
    <w:rsid w:val="74F777C1"/>
    <w:rsid w:val="750B2811"/>
    <w:rsid w:val="75EB48B6"/>
    <w:rsid w:val="76555C6F"/>
    <w:rsid w:val="76605BDA"/>
    <w:rsid w:val="76671B50"/>
    <w:rsid w:val="76925B55"/>
    <w:rsid w:val="76B65008"/>
    <w:rsid w:val="76DC3439"/>
    <w:rsid w:val="77383B2B"/>
    <w:rsid w:val="77550B22"/>
    <w:rsid w:val="777367F2"/>
    <w:rsid w:val="77787B6D"/>
    <w:rsid w:val="777A6916"/>
    <w:rsid w:val="779B6353"/>
    <w:rsid w:val="77CF281F"/>
    <w:rsid w:val="77DD092F"/>
    <w:rsid w:val="782A739D"/>
    <w:rsid w:val="7841201F"/>
    <w:rsid w:val="784D28F9"/>
    <w:rsid w:val="786129B8"/>
    <w:rsid w:val="78663F87"/>
    <w:rsid w:val="786A4DBA"/>
    <w:rsid w:val="78824F3D"/>
    <w:rsid w:val="789E5CA1"/>
    <w:rsid w:val="792A1003"/>
    <w:rsid w:val="79385A5E"/>
    <w:rsid w:val="79515378"/>
    <w:rsid w:val="79BC009A"/>
    <w:rsid w:val="79F549A5"/>
    <w:rsid w:val="7A0B06B8"/>
    <w:rsid w:val="7A486076"/>
    <w:rsid w:val="7A531478"/>
    <w:rsid w:val="7A7917AA"/>
    <w:rsid w:val="7A8F2B07"/>
    <w:rsid w:val="7AB00D11"/>
    <w:rsid w:val="7B3C5029"/>
    <w:rsid w:val="7B3D1484"/>
    <w:rsid w:val="7B765AED"/>
    <w:rsid w:val="7BF35507"/>
    <w:rsid w:val="7C2320E4"/>
    <w:rsid w:val="7C5237DC"/>
    <w:rsid w:val="7C8021FC"/>
    <w:rsid w:val="7CE5680F"/>
    <w:rsid w:val="7D384885"/>
    <w:rsid w:val="7DBE3CFA"/>
    <w:rsid w:val="7DCE343B"/>
    <w:rsid w:val="7E0E43A4"/>
    <w:rsid w:val="7E1E6A81"/>
    <w:rsid w:val="7E325778"/>
    <w:rsid w:val="7E6952A8"/>
    <w:rsid w:val="7E99671B"/>
    <w:rsid w:val="7EF01FC7"/>
    <w:rsid w:val="7EF06908"/>
    <w:rsid w:val="7F1D65BA"/>
    <w:rsid w:val="7F392F70"/>
    <w:rsid w:val="7F5B6162"/>
    <w:rsid w:val="7F5C53D7"/>
    <w:rsid w:val="7F8263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snapToGrid w:val="0"/>
      <w:spacing w:line="360" w:lineRule="atLeast"/>
      <w:jc w:val="center"/>
      <w:outlineLvl w:val="0"/>
    </w:pPr>
    <w:rPr>
      <w:rFonts w:ascii="宋体"/>
      <w:b/>
      <w:sz w:val="44"/>
    </w:rPr>
  </w:style>
  <w:style w:type="paragraph" w:styleId="5">
    <w:name w:val="heading 2"/>
    <w:basedOn w:val="1"/>
    <w:next w:val="1"/>
    <w:link w:val="68"/>
    <w:qFormat/>
    <w:uiPriority w:val="0"/>
    <w:pPr>
      <w:keepNext/>
      <w:keepLines/>
      <w:spacing w:before="100" w:beforeAutospacing="1"/>
      <w:outlineLvl w:val="1"/>
    </w:pPr>
    <w:rPr>
      <w:rFonts w:ascii="Arial" w:hAnsi="Arial"/>
      <w:b/>
    </w:rPr>
  </w:style>
  <w:style w:type="paragraph" w:styleId="6">
    <w:name w:val="heading 3"/>
    <w:basedOn w:val="1"/>
    <w:next w:val="1"/>
    <w:link w:val="69"/>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0">
    <w:name w:val="Default Paragraph Font"/>
    <w:qFormat/>
    <w:uiPriority w:val="0"/>
  </w:style>
  <w:style w:type="table" w:default="1" w:styleId="5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1"/>
    <w:qFormat/>
    <w:uiPriority w:val="0"/>
    <w:pPr>
      <w:spacing w:line="360" w:lineRule="auto"/>
      <w:ind w:firstLine="420"/>
    </w:pPr>
    <w:rPr>
      <w:rFonts w:ascii="宋体" w:hAnsi="宋体"/>
      <w:sz w:val="24"/>
    </w:rPr>
  </w:style>
  <w:style w:type="paragraph" w:styleId="3">
    <w:name w:val="Body Text"/>
    <w:basedOn w:val="1"/>
    <w:qFormat/>
    <w:uiPriority w:val="0"/>
    <w:rPr>
      <w:rFonts w:ascii="仿宋_GB2312" w:eastAsia="仿宋_GB2312"/>
      <w:sz w:val="32"/>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39"/>
    <w:pPr>
      <w:ind w:left="2520" w:leftChars="1200"/>
    </w:pPr>
  </w:style>
  <w:style w:type="paragraph" w:styleId="15">
    <w:name w:val="List Number 2"/>
    <w:basedOn w:val="1"/>
    <w:qFormat/>
    <w:uiPriority w:val="0"/>
    <w:pPr>
      <w:numPr>
        <w:ilvl w:val="0"/>
        <w:numId w:val="1"/>
      </w:numPr>
      <w:tabs>
        <w:tab w:val="left" w:pos="780"/>
        <w:tab w:val="clear" w:pos="425"/>
      </w:tabs>
      <w:spacing w:line="360" w:lineRule="auto"/>
    </w:pPr>
    <w:rPr>
      <w:sz w:val="24"/>
    </w:rPr>
  </w:style>
  <w:style w:type="paragraph" w:styleId="16">
    <w:name w:val="List Bullet 4"/>
    <w:basedOn w:val="1"/>
    <w:qFormat/>
    <w:uiPriority w:val="0"/>
    <w:pPr>
      <w:widowControl/>
      <w:numPr>
        <w:ilvl w:val="0"/>
        <w:numId w:val="2"/>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pPr>
    <w:rPr>
      <w:rFonts w:ascii="Arial" w:hAnsi="Arial"/>
      <w:sz w:val="24"/>
    </w:rPr>
  </w:style>
  <w:style w:type="paragraph" w:styleId="21">
    <w:name w:val="annotation text"/>
    <w:basedOn w:val="1"/>
    <w:link w:val="70"/>
    <w:qFormat/>
    <w:uiPriority w:val="0"/>
    <w:pPr>
      <w:adjustRightInd w:val="0"/>
      <w:spacing w:line="360" w:lineRule="atLeast"/>
      <w:jc w:val="left"/>
      <w:textAlignment w:val="baseline"/>
    </w:pPr>
    <w:rPr>
      <w:kern w:val="0"/>
      <w:sz w:val="24"/>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numPr>
        <w:ilvl w:val="0"/>
        <w:numId w:val="3"/>
      </w:numPr>
      <w:adjustRightInd w:val="0"/>
      <w:snapToGrid w:val="0"/>
      <w:spacing w:line="360" w:lineRule="auto"/>
    </w:pPr>
    <w:rPr>
      <w:sz w:val="24"/>
    </w:rPr>
  </w:style>
  <w:style w:type="paragraph" w:styleId="24">
    <w:name w:val="Body Text Indent"/>
    <w:basedOn w:val="1"/>
    <w:next w:val="1"/>
    <w:link w:val="7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numPr>
        <w:ilvl w:val="0"/>
        <w:numId w:val="4"/>
      </w:numPr>
      <w:adjustRightInd w:val="0"/>
      <w:snapToGrid w:val="0"/>
      <w:spacing w:line="360" w:lineRule="auto"/>
    </w:pPr>
    <w:rPr>
      <w:sz w:val="24"/>
    </w:rPr>
  </w:style>
  <w:style w:type="paragraph" w:styleId="29">
    <w:name w:val="toc 5"/>
    <w:basedOn w:val="1"/>
    <w:next w:val="1"/>
    <w:qFormat/>
    <w:uiPriority w:val="39"/>
    <w:pPr>
      <w:ind w:left="1680" w:leftChars="800"/>
    </w:pPr>
  </w:style>
  <w:style w:type="paragraph" w:styleId="30">
    <w:name w:val="toc 3"/>
    <w:basedOn w:val="1"/>
    <w:next w:val="1"/>
    <w:qFormat/>
    <w:uiPriority w:val="39"/>
    <w:pPr>
      <w:ind w:left="840" w:leftChars="400"/>
    </w:pPr>
  </w:style>
  <w:style w:type="paragraph" w:styleId="31">
    <w:name w:val="Plain Text"/>
    <w:basedOn w:val="1"/>
    <w:link w:val="72"/>
    <w:qFormat/>
    <w:uiPriority w:val="0"/>
    <w:rPr>
      <w:rFonts w:ascii="宋体" w:hAnsi="Courier New"/>
      <w:sz w:val="21"/>
    </w:rPr>
  </w:style>
  <w:style w:type="paragraph" w:styleId="32">
    <w:name w:val="toc 8"/>
    <w:basedOn w:val="1"/>
    <w:next w:val="1"/>
    <w:qFormat/>
    <w:uiPriority w:val="39"/>
    <w:pPr>
      <w:ind w:left="2940" w:leftChars="1400"/>
    </w:pPr>
  </w:style>
  <w:style w:type="paragraph" w:styleId="33">
    <w:name w:val="Date"/>
    <w:basedOn w:val="1"/>
    <w:next w:val="1"/>
    <w:link w:val="73"/>
    <w:qFormat/>
    <w:uiPriority w:val="0"/>
  </w:style>
  <w:style w:type="paragraph" w:styleId="34">
    <w:name w:val="Body Text Indent 2"/>
    <w:basedOn w:val="1"/>
    <w:link w:val="74"/>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spacing w:line="180" w:lineRule="auto"/>
      <w:jc w:val="center"/>
    </w:pPr>
    <w:rPr>
      <w:sz w:val="30"/>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39"/>
    <w:pPr>
      <w:ind w:left="1260" w:leftChars="600"/>
    </w:pPr>
  </w:style>
  <w:style w:type="paragraph" w:styleId="41">
    <w:name w:val="footnote text"/>
    <w:basedOn w:val="1"/>
    <w:link w:val="75"/>
    <w:qFormat/>
    <w:uiPriority w:val="0"/>
    <w:pPr>
      <w:spacing w:line="360" w:lineRule="auto"/>
    </w:pPr>
    <w:rPr>
      <w:sz w:val="18"/>
    </w:rPr>
  </w:style>
  <w:style w:type="paragraph" w:styleId="42">
    <w:name w:val="toc 6"/>
    <w:basedOn w:val="1"/>
    <w:next w:val="1"/>
    <w:qFormat/>
    <w:uiPriority w:val="39"/>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ind w:left="420" w:leftChars="200"/>
    </w:pPr>
  </w:style>
  <w:style w:type="paragraph" w:styleId="47">
    <w:name w:val="toc 9"/>
    <w:basedOn w:val="1"/>
    <w:next w:val="1"/>
    <w:qFormat/>
    <w:uiPriority w:val="39"/>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52">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56">
    <w:name w:val="annotation subject"/>
    <w:basedOn w:val="21"/>
    <w:next w:val="21"/>
    <w:link w:val="76"/>
    <w:qFormat/>
    <w:uiPriority w:val="0"/>
    <w:pPr>
      <w:adjustRightInd/>
      <w:spacing w:line="240" w:lineRule="auto"/>
      <w:textAlignment w:val="auto"/>
    </w:pPr>
  </w:style>
  <w:style w:type="paragraph" w:styleId="57">
    <w:name w:val="Body Text First Indent 2"/>
    <w:basedOn w:val="24"/>
    <w:link w:val="77"/>
    <w:qFormat/>
    <w:uiPriority w:val="0"/>
    <w:pPr>
      <w:spacing w:after="120" w:afterLines="0" w:line="240" w:lineRule="auto"/>
      <w:ind w:left="420" w:leftChars="200" w:firstLine="420" w:firstLineChars="200"/>
    </w:pPr>
  </w:style>
  <w:style w:type="table" w:styleId="59">
    <w:name w:val="Table Grid"/>
    <w:basedOn w:val="5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1">
    <w:name w:val="Strong"/>
    <w:qFormat/>
    <w:uiPriority w:val="22"/>
    <w:rPr>
      <w:b/>
    </w:rPr>
  </w:style>
  <w:style w:type="character" w:styleId="62">
    <w:name w:val="page number"/>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character" w:customStyle="1" w:styleId="68">
    <w:name w:val="标题 2 Char"/>
    <w:link w:val="5"/>
    <w:qFormat/>
    <w:uiPriority w:val="0"/>
    <w:rPr>
      <w:rFonts w:ascii="Arial" w:hAnsi="Arial"/>
      <w:b/>
      <w:kern w:val="2"/>
      <w:sz w:val="28"/>
    </w:rPr>
  </w:style>
  <w:style w:type="character" w:customStyle="1" w:styleId="69">
    <w:name w:val="标题 3 Char"/>
    <w:link w:val="6"/>
    <w:qFormat/>
    <w:uiPriority w:val="0"/>
    <w:rPr>
      <w:rFonts w:eastAsia="宋体"/>
      <w:b/>
      <w:kern w:val="2"/>
      <w:sz w:val="32"/>
      <w:lang w:val="en-US" w:eastAsia="zh-CN"/>
    </w:rPr>
  </w:style>
  <w:style w:type="character" w:customStyle="1" w:styleId="70">
    <w:name w:val="批注文字 Char"/>
    <w:link w:val="21"/>
    <w:qFormat/>
    <w:uiPriority w:val="0"/>
    <w:rPr>
      <w:sz w:val="24"/>
    </w:rPr>
  </w:style>
  <w:style w:type="character" w:customStyle="1" w:styleId="71">
    <w:name w:val="正文文本缩进 Char"/>
    <w:link w:val="24"/>
    <w:qFormat/>
    <w:uiPriority w:val="0"/>
    <w:rPr>
      <w:kern w:val="2"/>
      <w:sz w:val="44"/>
    </w:rPr>
  </w:style>
  <w:style w:type="character" w:customStyle="1" w:styleId="72">
    <w:name w:val="纯文本 Char"/>
    <w:link w:val="31"/>
    <w:qFormat/>
    <w:uiPriority w:val="0"/>
    <w:rPr>
      <w:rFonts w:ascii="宋体" w:hAnsi="Courier New"/>
      <w:kern w:val="2"/>
      <w:sz w:val="21"/>
    </w:rPr>
  </w:style>
  <w:style w:type="character" w:customStyle="1" w:styleId="73">
    <w:name w:val="日期 Char"/>
    <w:link w:val="33"/>
    <w:qFormat/>
    <w:uiPriority w:val="0"/>
    <w:rPr>
      <w:kern w:val="2"/>
      <w:sz w:val="28"/>
    </w:rPr>
  </w:style>
  <w:style w:type="character" w:customStyle="1" w:styleId="74">
    <w:name w:val="正文文本缩进 2 Char"/>
    <w:link w:val="34"/>
    <w:qFormat/>
    <w:uiPriority w:val="0"/>
    <w:rPr>
      <w:kern w:val="2"/>
      <w:sz w:val="28"/>
    </w:rPr>
  </w:style>
  <w:style w:type="character" w:customStyle="1" w:styleId="75">
    <w:name w:val="脚注文本 Char"/>
    <w:link w:val="41"/>
    <w:qFormat/>
    <w:uiPriority w:val="0"/>
    <w:rPr>
      <w:kern w:val="2"/>
      <w:sz w:val="18"/>
    </w:rPr>
  </w:style>
  <w:style w:type="character" w:customStyle="1" w:styleId="76">
    <w:name w:val="批注主题 Char"/>
    <w:link w:val="56"/>
    <w:qFormat/>
    <w:uiPriority w:val="0"/>
  </w:style>
  <w:style w:type="character" w:customStyle="1" w:styleId="77">
    <w:name w:val="正文首行缩进 2 Char"/>
    <w:link w:val="57"/>
    <w:qFormat/>
    <w:uiPriority w:val="0"/>
  </w:style>
  <w:style w:type="paragraph" w:customStyle="1" w:styleId="78">
    <w:name w:val="标题 5（有编号）（绿盟科技）"/>
    <w:basedOn w:val="1"/>
    <w:next w:val="79"/>
    <w:qFormat/>
    <w:uiPriority w:val="0"/>
    <w:pPr>
      <w:keepNext/>
      <w:keepLines/>
      <w:numPr>
        <w:ilvl w:val="4"/>
        <w:numId w:val="5"/>
      </w:numPr>
      <w:spacing w:before="280" w:after="156" w:line="377" w:lineRule="auto"/>
      <w:outlineLvl w:val="4"/>
    </w:pPr>
    <w:rPr>
      <w:rFonts w:ascii="Arial" w:hAnsi="Arial" w:eastAsia="黑体"/>
      <w:b/>
      <w:szCs w:val="28"/>
    </w:rPr>
  </w:style>
  <w:style w:type="paragraph" w:customStyle="1" w:styleId="79">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80">
    <w:name w:val="content-white1"/>
    <w:qFormat/>
    <w:uiPriority w:val="0"/>
    <w:rPr>
      <w:rFonts w:ascii="_x000B__x000C_" w:hAnsi="_x000B__x000C_"/>
      <w:color w:val="auto"/>
      <w:sz w:val="18"/>
      <w:u w:val="none"/>
    </w:rPr>
  </w:style>
  <w:style w:type="character" w:customStyle="1" w:styleId="81">
    <w:name w:val=" Char Char3"/>
    <w:qFormat/>
    <w:uiPriority w:val="0"/>
    <w:rPr>
      <w:rFonts w:eastAsia="宋体"/>
      <w:kern w:val="2"/>
      <w:sz w:val="18"/>
      <w:lang w:val="en-US" w:eastAsia="zh-CN"/>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crowed11"/>
    <w:qFormat/>
    <w:uiPriority w:val="0"/>
    <w:rPr>
      <w:rFonts w:hint="default" w:ascii="_x000B__x000C_" w:hAnsi="_x000B__x000C_"/>
      <w:sz w:val="24"/>
    </w:rPr>
  </w:style>
  <w:style w:type="character" w:customStyle="1" w:styleId="84">
    <w:name w:val=" Char Char4"/>
    <w:qFormat/>
    <w:uiPriority w:val="0"/>
    <w:rPr>
      <w:rFonts w:eastAsia="宋体"/>
      <w:b/>
      <w:kern w:val="2"/>
      <w:sz w:val="21"/>
      <w:lang w:val="en-US" w:eastAsia="zh-CN"/>
    </w:rPr>
  </w:style>
  <w:style w:type="character" w:customStyle="1" w:styleId="85">
    <w:name w:val="H2 Char"/>
    <w:qFormat/>
    <w:uiPriority w:val="0"/>
    <w:rPr>
      <w:rFonts w:ascii="Arial" w:hAnsi="Arial" w:eastAsia="宋体"/>
      <w:kern w:val="2"/>
      <w:sz w:val="28"/>
      <w:lang w:val="en-US" w:eastAsia="zh-CN"/>
    </w:rPr>
  </w:style>
  <w:style w:type="character" w:customStyle="1" w:styleId="86">
    <w:name w:val="未命名11"/>
    <w:qFormat/>
    <w:uiPriority w:val="0"/>
    <w:rPr>
      <w:color w:val="77FFFF"/>
      <w:sz w:val="24"/>
    </w:rPr>
  </w:style>
  <w:style w:type="character" w:customStyle="1" w:styleId="87">
    <w:name w:val="Table Text Char1 Char"/>
    <w:qFormat/>
    <w:uiPriority w:val="0"/>
    <w:rPr>
      <w:rFonts w:ascii="Arial" w:hAnsi="Arial"/>
      <w:kern w:val="2"/>
      <w:sz w:val="18"/>
      <w:lang w:val="en-US" w:eastAsia="zh-CN" w:bidi="ar-SA"/>
    </w:rPr>
  </w:style>
  <w:style w:type="character" w:customStyle="1" w:styleId="88">
    <w:name w:val="font21"/>
    <w:qFormat/>
    <w:uiPriority w:val="0"/>
    <w:rPr>
      <w:rFonts w:hint="eastAsia" w:ascii="宋体" w:hAnsi="宋体" w:eastAsia="宋体" w:cs="宋体"/>
      <w:color w:val="000000"/>
      <w:sz w:val="24"/>
      <w:szCs w:val="24"/>
      <w:u w:val="none"/>
    </w:rPr>
  </w:style>
  <w:style w:type="character" w:customStyle="1" w:styleId="89">
    <w:name w:val="font1"/>
    <w:qFormat/>
    <w:uiPriority w:val="0"/>
    <w:rPr>
      <w:color w:val="000000"/>
      <w:sz w:val="18"/>
    </w:rPr>
  </w:style>
  <w:style w:type="character" w:customStyle="1" w:styleId="90">
    <w:name w:val="font01"/>
    <w:qFormat/>
    <w:uiPriority w:val="0"/>
    <w:rPr>
      <w:rFonts w:hint="eastAsia" w:ascii="宋体" w:hAnsi="宋体" w:eastAsia="宋体" w:cs="宋体"/>
      <w:color w:val="000000"/>
      <w:sz w:val="24"/>
      <w:szCs w:val="24"/>
      <w:u w:val="none"/>
    </w:rPr>
  </w:style>
  <w:style w:type="character" w:customStyle="1" w:styleId="91">
    <w:name w:val="标书正文:  0.74 厘米 Char1"/>
    <w:qFormat/>
    <w:uiPriority w:val="0"/>
    <w:rPr>
      <w:rFonts w:eastAsia="宋体"/>
      <w:kern w:val="2"/>
      <w:sz w:val="24"/>
      <w:lang w:val="en-US" w:eastAsia="zh-CN"/>
    </w:rPr>
  </w:style>
  <w:style w:type="character" w:customStyle="1" w:styleId="92">
    <w:name w:val="文字 Char"/>
    <w:link w:val="93"/>
    <w:qFormat/>
    <w:uiPriority w:val="0"/>
    <w:rPr>
      <w:rFonts w:ascii="宋体"/>
      <w:kern w:val="2"/>
      <w:sz w:val="28"/>
    </w:rPr>
  </w:style>
  <w:style w:type="paragraph" w:customStyle="1" w:styleId="93">
    <w:name w:val="文字"/>
    <w:basedOn w:val="1"/>
    <w:link w:val="92"/>
    <w:qFormat/>
    <w:uiPriority w:val="0"/>
    <w:pPr>
      <w:tabs>
        <w:tab w:val="left" w:pos="8520"/>
      </w:tabs>
      <w:spacing w:line="312" w:lineRule="auto"/>
      <w:ind w:right="-210" w:firstLine="556"/>
    </w:pPr>
    <w:rPr>
      <w:rFonts w:ascii="宋体"/>
    </w:rPr>
  </w:style>
  <w:style w:type="character" w:customStyle="1" w:styleId="94">
    <w:name w:val="title_emph1"/>
    <w:qFormat/>
    <w:uiPriority w:val="0"/>
    <w:rPr>
      <w:rFonts w:hint="default" w:ascii="Arial" w:hAnsi="Arial"/>
      <w:b/>
      <w:sz w:val="20"/>
    </w:rPr>
  </w:style>
  <w:style w:type="character" w:customStyle="1" w:styleId="95">
    <w:name w:val="top-det1"/>
    <w:qFormat/>
    <w:uiPriority w:val="0"/>
    <w:rPr>
      <w:b/>
      <w:color w:val="000000"/>
    </w:rPr>
  </w:style>
  <w:style w:type="character" w:customStyle="1" w:styleId="96">
    <w:name w:val="font31"/>
    <w:qFormat/>
    <w:uiPriority w:val="0"/>
    <w:rPr>
      <w:rFonts w:hint="eastAsia" w:ascii="宋体" w:hAnsi="宋体" w:eastAsia="宋体" w:cs="宋体"/>
      <w:color w:val="000000"/>
      <w:sz w:val="24"/>
      <w:szCs w:val="24"/>
      <w:u w:val="none"/>
    </w:rPr>
  </w:style>
  <w:style w:type="character" w:customStyle="1" w:styleId="97">
    <w:name w:val="Table Text Char Char Char Char"/>
    <w:link w:val="98"/>
    <w:qFormat/>
    <w:uiPriority w:val="0"/>
    <w:rPr>
      <w:rFonts w:ascii="Arial" w:hAnsi="Arial"/>
      <w:kern w:val="2"/>
      <w:sz w:val="18"/>
      <w:lang w:val="en-US" w:eastAsia="zh-CN" w:bidi="ar-SA"/>
    </w:rPr>
  </w:style>
  <w:style w:type="paragraph" w:customStyle="1" w:styleId="98">
    <w:name w:val="Table Text Char Char Char"/>
    <w:link w:val="97"/>
    <w:qFormat/>
    <w:uiPriority w:val="0"/>
    <w:pPr>
      <w:snapToGrid w:val="0"/>
      <w:spacing w:before="80" w:after="80"/>
    </w:pPr>
    <w:rPr>
      <w:rFonts w:ascii="Arial" w:hAnsi="Arial" w:eastAsia="宋体" w:cs="Times New Roman"/>
      <w:kern w:val="2"/>
      <w:sz w:val="18"/>
      <w:lang w:val="en-US" w:eastAsia="zh-CN" w:bidi="ar-SA"/>
    </w:rPr>
  </w:style>
  <w:style w:type="character" w:customStyle="1" w:styleId="99">
    <w:name w:val=" Char Char11"/>
    <w:qFormat/>
    <w:uiPriority w:val="0"/>
    <w:rPr>
      <w:rFonts w:ascii="宋体"/>
      <w:kern w:val="2"/>
      <w:sz w:val="28"/>
    </w:rPr>
  </w:style>
  <w:style w:type="character" w:customStyle="1" w:styleId="100">
    <w:name w:val="样式 宋体"/>
    <w:qFormat/>
    <w:uiPriority w:val="0"/>
    <w:rPr>
      <w:rFonts w:ascii="宋体" w:hAnsi="宋体" w:eastAsia="宋体"/>
      <w:sz w:val="28"/>
    </w:rPr>
  </w:style>
  <w:style w:type="character" w:customStyle="1" w:styleId="101">
    <w:name w:val=" Char Char7"/>
    <w:qFormat/>
    <w:uiPriority w:val="0"/>
    <w:rPr>
      <w:rFonts w:ascii="宋体" w:hAnsi="宋体" w:eastAsia="宋体"/>
      <w:kern w:val="2"/>
      <w:sz w:val="28"/>
    </w:rPr>
  </w:style>
  <w:style w:type="character" w:customStyle="1" w:styleId="102">
    <w:name w:val=" Char Char2"/>
    <w:qFormat/>
    <w:uiPriority w:val="0"/>
    <w:rPr>
      <w:rFonts w:eastAsia="宋体"/>
      <w:kern w:val="2"/>
      <w:sz w:val="18"/>
      <w:lang w:val="en-US" w:eastAsia="zh-CN"/>
    </w:rPr>
  </w:style>
  <w:style w:type="character" w:customStyle="1" w:styleId="103">
    <w:name w:val="Table Heading Char Char"/>
    <w:qFormat/>
    <w:uiPriority w:val="0"/>
    <w:rPr>
      <w:rFonts w:ascii="Arial" w:hAnsi="Arial" w:eastAsia="黑体"/>
      <w:kern w:val="2"/>
      <w:sz w:val="18"/>
      <w:lang w:val="en-US" w:eastAsia="zh-CN"/>
    </w:rPr>
  </w:style>
  <w:style w:type="character" w:customStyle="1" w:styleId="104">
    <w:name w:val="正文 + 三号 Char"/>
    <w:qFormat/>
    <w:uiPriority w:val="0"/>
    <w:rPr>
      <w:rFonts w:eastAsia="宋体"/>
      <w:kern w:val="2"/>
      <w:sz w:val="21"/>
      <w:lang w:val="en-US" w:eastAsia="zh-CN"/>
    </w:rPr>
  </w:style>
  <w:style w:type="character" w:customStyle="1" w:styleId="105">
    <w:name w:val=" Char Char"/>
    <w:qFormat/>
    <w:uiPriority w:val="0"/>
    <w:rPr>
      <w:rFonts w:ascii="宋体" w:hAnsi="宋体" w:eastAsia="宋体"/>
      <w:kern w:val="2"/>
      <w:sz w:val="24"/>
      <w:lang w:val="en-US" w:eastAsia="zh-CN" w:bidi="ar-SA"/>
    </w:rPr>
  </w:style>
  <w:style w:type="character" w:customStyle="1" w:styleId="106">
    <w:name w:val=" Char Char6"/>
    <w:qFormat/>
    <w:uiPriority w:val="0"/>
    <w:rPr>
      <w:rFonts w:ascii="仿宋_GB2312" w:eastAsia="仿宋_GB2312"/>
      <w:kern w:val="2"/>
      <w:sz w:val="32"/>
    </w:rPr>
  </w:style>
  <w:style w:type="character" w:customStyle="1" w:styleId="107">
    <w:name w:val="Table Text Char"/>
    <w:link w:val="108"/>
    <w:qFormat/>
    <w:uiPriority w:val="0"/>
    <w:rPr>
      <w:rFonts w:ascii="Arial" w:hAnsi="Arial"/>
      <w:kern w:val="2"/>
      <w:sz w:val="18"/>
      <w:lang w:val="en-US" w:eastAsia="zh-CN" w:bidi="ar-SA"/>
    </w:rPr>
  </w:style>
  <w:style w:type="paragraph" w:customStyle="1" w:styleId="108">
    <w:name w:val="Table Text"/>
    <w:link w:val="107"/>
    <w:qFormat/>
    <w:uiPriority w:val="0"/>
    <w:pPr>
      <w:snapToGrid w:val="0"/>
      <w:spacing w:before="80" w:after="80"/>
    </w:pPr>
    <w:rPr>
      <w:rFonts w:ascii="Arial" w:hAnsi="Arial" w:eastAsia="宋体" w:cs="Times New Roman"/>
      <w:kern w:val="2"/>
      <w:sz w:val="18"/>
      <w:lang w:val="en-US" w:eastAsia="zh-CN" w:bidi="ar-SA"/>
    </w:rPr>
  </w:style>
  <w:style w:type="character" w:customStyle="1" w:styleId="109">
    <w:name w:val="v151"/>
    <w:qFormat/>
    <w:uiPriority w:val="0"/>
    <w:rPr>
      <w:sz w:val="18"/>
    </w:rPr>
  </w:style>
  <w:style w:type="character" w:customStyle="1" w:styleId="110">
    <w:name w:val=" Char Char5"/>
    <w:qFormat/>
    <w:uiPriority w:val="0"/>
    <w:rPr>
      <w:rFonts w:ascii="Arial" w:hAnsi="Arial" w:eastAsia="宋体"/>
      <w:b/>
      <w:smallCaps/>
      <w:kern w:val="28"/>
      <w:sz w:val="36"/>
      <w:lang w:val="en-US" w:eastAsia="en-US"/>
    </w:rPr>
  </w:style>
  <w:style w:type="paragraph" w:customStyle="1" w:styleId="111">
    <w:name w:val="内容标题"/>
    <w:basedOn w:val="19"/>
    <w:qFormat/>
    <w:uiPriority w:val="0"/>
    <w:rPr>
      <w:rFonts w:ascii="Tahoma" w:hAnsi="Tahoma"/>
      <w:sz w:val="24"/>
    </w:rPr>
  </w:style>
  <w:style w:type="paragraph" w:customStyle="1" w:styleId="112">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113">
    <w:name w:val="正文 + 三号"/>
    <w:basedOn w:val="1"/>
    <w:qFormat/>
    <w:uiPriority w:val="0"/>
    <w:rPr>
      <w:sz w:val="21"/>
    </w:rPr>
  </w:style>
  <w:style w:type="paragraph" w:customStyle="1" w:styleId="114">
    <w:name w:val="表头样式"/>
    <w:basedOn w:val="1"/>
    <w:qFormat/>
    <w:uiPriority w:val="0"/>
    <w:pPr>
      <w:autoSpaceDE w:val="0"/>
      <w:autoSpaceDN w:val="0"/>
      <w:adjustRightInd w:val="0"/>
      <w:spacing w:line="360" w:lineRule="auto"/>
      <w:jc w:val="left"/>
    </w:pPr>
    <w:rPr>
      <w:b/>
      <w:kern w:val="0"/>
      <w:sz w:val="21"/>
    </w:rPr>
  </w:style>
  <w:style w:type="paragraph" w:customStyle="1" w:styleId="115">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16">
    <w:name w:val=" Char"/>
    <w:basedOn w:val="1"/>
    <w:qFormat/>
    <w:uiPriority w:val="0"/>
    <w:pPr>
      <w:spacing w:line="240" w:lineRule="atLeast"/>
      <w:ind w:left="420" w:firstLine="420"/>
    </w:pPr>
    <w:rPr>
      <w:kern w:val="0"/>
      <w:sz w:val="21"/>
    </w:rPr>
  </w:style>
  <w:style w:type="paragraph" w:customStyle="1" w:styleId="117">
    <w:name w:val="可研正文"/>
    <w:basedOn w:val="3"/>
    <w:qFormat/>
    <w:uiPriority w:val="0"/>
    <w:pPr>
      <w:adjustRightInd w:val="0"/>
      <w:snapToGrid w:val="0"/>
      <w:spacing w:line="440" w:lineRule="exact"/>
      <w:ind w:firstLine="567"/>
    </w:pPr>
    <w:rPr>
      <w:sz w:val="28"/>
    </w:rPr>
  </w:style>
  <w:style w:type="paragraph" w:customStyle="1" w:styleId="11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19">
    <w:name w:val="Char1 Char Char Char"/>
    <w:basedOn w:val="1"/>
    <w:qFormat/>
    <w:uiPriority w:val="0"/>
    <w:rPr>
      <w:rFonts w:ascii="Tahoma" w:hAnsi="Tahoma"/>
      <w:sz w:val="30"/>
    </w:rPr>
  </w:style>
  <w:style w:type="paragraph" w:customStyle="1" w:styleId="120">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1">
    <w:name w:val="标书正文:  0.74 厘米"/>
    <w:basedOn w:val="1"/>
    <w:qFormat/>
    <w:uiPriority w:val="0"/>
    <w:pPr>
      <w:snapToGrid w:val="0"/>
      <w:spacing w:line="360" w:lineRule="auto"/>
      <w:ind w:firstLine="420"/>
    </w:pPr>
    <w:rPr>
      <w:sz w:val="24"/>
    </w:rPr>
  </w:style>
  <w:style w:type="paragraph" w:customStyle="1" w:styleId="122">
    <w:name w:val="列出段落1"/>
    <w:basedOn w:val="1"/>
    <w:qFormat/>
    <w:uiPriority w:val="34"/>
    <w:pPr>
      <w:ind w:firstLine="420" w:firstLineChars="200"/>
    </w:pPr>
  </w:style>
  <w:style w:type="paragraph" w:customStyle="1" w:styleId="123">
    <w:name w:val="样式 标题 1 + 居中 段前: 6 磅 段后: 6 磅 行距: 1.5 倍行距"/>
    <w:basedOn w:val="4"/>
    <w:qFormat/>
    <w:uiPriority w:val="0"/>
    <w:pPr>
      <w:keepLines/>
      <w:adjustRightInd w:val="0"/>
      <w:spacing w:before="120" w:beforeLines="0" w:beforeAutospacing="0" w:after="120" w:afterLines="0" w:afterAutospacing="0" w:line="360" w:lineRule="auto"/>
      <w:jc w:val="center"/>
    </w:pPr>
    <w:rPr>
      <w:rFonts w:ascii="Times New Roman"/>
      <w:b w:val="0"/>
      <w:kern w:val="44"/>
      <w:sz w:val="32"/>
    </w:rPr>
  </w:style>
  <w:style w:type="paragraph" w:customStyle="1" w:styleId="124">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25">
    <w:name w:val=" Char Char Char Char Char"/>
    <w:basedOn w:val="1"/>
    <w:qFormat/>
    <w:uiPriority w:val="0"/>
    <w:pPr>
      <w:numPr>
        <w:ilvl w:val="0"/>
        <w:numId w:val="2"/>
      </w:numPr>
      <w:tabs>
        <w:tab w:val="left" w:pos="425"/>
        <w:tab w:val="clear" w:pos="1620"/>
      </w:tabs>
    </w:pPr>
    <w:rPr>
      <w:rFonts w:ascii="Tahoma" w:hAnsi="Tahoma"/>
      <w:sz w:val="24"/>
    </w:rPr>
  </w:style>
  <w:style w:type="paragraph" w:customStyle="1" w:styleId="126">
    <w:name w:val="_Style 125"/>
    <w:qFormat/>
    <w:uiPriority w:val="0"/>
    <w:rPr>
      <w:rFonts w:ascii="Times New Roman" w:hAnsi="Times New Roman" w:eastAsia="宋体" w:cs="Times New Roman"/>
      <w:kern w:val="2"/>
      <w:sz w:val="21"/>
      <w:lang w:val="en-US" w:eastAsia="zh-CN" w:bidi="ar-SA"/>
    </w:rPr>
  </w:style>
  <w:style w:type="paragraph" w:customStyle="1" w:styleId="127">
    <w:name w:val=" Char Char Char"/>
    <w:basedOn w:val="1"/>
    <w:qFormat/>
    <w:uiPriority w:val="0"/>
    <w:rPr>
      <w:rFonts w:ascii="Tahoma" w:hAnsi="Tahoma"/>
      <w:sz w:val="24"/>
    </w:rPr>
  </w:style>
  <w:style w:type="paragraph" w:customStyle="1" w:styleId="128">
    <w:name w:val="表号"/>
    <w:basedOn w:val="1"/>
    <w:qFormat/>
    <w:uiPriority w:val="0"/>
    <w:pPr>
      <w:numPr>
        <w:ilvl w:val="0"/>
        <w:numId w:val="7"/>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29">
    <w:name w:val="Body Text Indent 2"/>
    <w:basedOn w:val="1"/>
    <w:qFormat/>
    <w:uiPriority w:val="0"/>
    <w:pPr>
      <w:adjustRightInd w:val="0"/>
      <w:spacing w:before="120" w:beforeLines="0" w:beforeAutospacing="0"/>
      <w:ind w:firstLine="420"/>
      <w:textAlignment w:val="baseline"/>
    </w:pPr>
    <w:rPr>
      <w:sz w:val="24"/>
    </w:rPr>
  </w:style>
  <w:style w:type="paragraph" w:customStyle="1" w:styleId="130">
    <w:name w:val=" Char Char Char1 Char Char Char Char Char Char Char Char Char Char Char Char Char"/>
    <w:basedOn w:val="1"/>
    <w:qFormat/>
    <w:uiPriority w:val="0"/>
    <w:pPr>
      <w:widowControl/>
      <w:spacing w:after="160" w:afterLines="0" w:line="240" w:lineRule="exact"/>
      <w:jc w:val="left"/>
    </w:pPr>
    <w:rPr>
      <w:rFonts w:ascii="Verdana" w:hAnsi="Verdana"/>
      <w:kern w:val="0"/>
      <w:sz w:val="18"/>
      <w:lang w:eastAsia="en-US"/>
    </w:rPr>
  </w:style>
  <w:style w:type="paragraph" w:customStyle="1" w:styleId="131">
    <w:name w:val="附录3"/>
    <w:basedOn w:val="1"/>
    <w:next w:val="1"/>
    <w:qFormat/>
    <w:uiPriority w:val="0"/>
    <w:pPr>
      <w:numPr>
        <w:ilvl w:val="0"/>
        <w:numId w:val="0"/>
      </w:numPr>
      <w:tabs>
        <w:tab w:val="left" w:pos="851"/>
      </w:tabs>
      <w:ind w:left="425" w:hanging="425"/>
      <w:outlineLvl w:val="2"/>
    </w:pPr>
    <w:rPr>
      <w:rFonts w:eastAsia="黑体"/>
      <w:b/>
      <w:sz w:val="32"/>
    </w:rPr>
  </w:style>
  <w:style w:type="paragraph" w:customStyle="1" w:styleId="132">
    <w:name w:val="列表项目"/>
    <w:basedOn w:val="1"/>
    <w:qFormat/>
    <w:uiPriority w:val="0"/>
    <w:pPr>
      <w:numPr>
        <w:ilvl w:val="0"/>
        <w:numId w:val="3"/>
      </w:numPr>
      <w:tabs>
        <w:tab w:val="left" w:pos="420"/>
        <w:tab w:val="clear" w:pos="1200"/>
      </w:tabs>
      <w:spacing w:line="288" w:lineRule="auto"/>
      <w:ind w:left="840" w:leftChars="200" w:hanging="420" w:hangingChars="200"/>
    </w:pPr>
    <w:rPr>
      <w:sz w:val="21"/>
    </w:rPr>
  </w:style>
  <w:style w:type="paragraph" w:customStyle="1" w:styleId="133">
    <w:name w:val="样式 宋体 五号 行距: 单倍行距"/>
    <w:basedOn w:val="1"/>
    <w:qFormat/>
    <w:uiPriority w:val="0"/>
    <w:pPr>
      <w:adjustRightInd w:val="0"/>
      <w:jc w:val="left"/>
    </w:pPr>
    <w:rPr>
      <w:rFonts w:ascii="宋体" w:hAnsi="宋体"/>
      <w:kern w:val="0"/>
      <w:sz w:val="21"/>
    </w:rPr>
  </w:style>
  <w:style w:type="paragraph" w:customStyle="1" w:styleId="134">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5">
    <w:name w:val="表格文本"/>
    <w:qFormat/>
    <w:uiPriority w:val="0"/>
    <w:pPr>
      <w:tabs>
        <w:tab w:val="decimal" w:pos="0"/>
      </w:tabs>
    </w:pPr>
    <w:rPr>
      <w:rFonts w:ascii="Arial" w:hAnsi="Arial" w:eastAsia="宋体" w:cs="Times New Roman"/>
      <w:sz w:val="21"/>
      <w:lang w:val="en-US" w:eastAsia="zh-CN" w:bidi="ar-SA"/>
    </w:rPr>
  </w:style>
  <w:style w:type="paragraph" w:customStyle="1" w:styleId="136">
    <w:name w:val="正文1"/>
    <w:basedOn w:val="1"/>
    <w:qFormat/>
    <w:uiPriority w:val="0"/>
    <w:pPr>
      <w:spacing w:line="300" w:lineRule="auto"/>
      <w:ind w:firstLine="200" w:firstLineChars="200"/>
    </w:pPr>
    <w:rPr>
      <w:sz w:val="24"/>
    </w:rPr>
  </w:style>
  <w:style w:type="paragraph" w:customStyle="1" w:styleId="13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3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39">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0">
    <w:name w:val="正文格式"/>
    <w:basedOn w:val="1"/>
    <w:qFormat/>
    <w:uiPriority w:val="0"/>
    <w:pPr>
      <w:widowControl/>
      <w:adjustRightInd w:val="0"/>
      <w:snapToGrid w:val="0"/>
      <w:spacing w:before="60" w:beforeLines="0" w:beforeAutospacing="0" w:line="360" w:lineRule="auto"/>
      <w:ind w:firstLine="480" w:firstLineChars="200"/>
      <w:jc w:val="left"/>
      <w:textAlignment w:val="baseline"/>
    </w:pPr>
    <w:rPr>
      <w:rFonts w:ascii="宋体" w:hAnsi="宋体"/>
      <w:color w:val="000000"/>
      <w:kern w:val="0"/>
      <w:sz w:val="24"/>
    </w:rPr>
  </w:style>
  <w:style w:type="paragraph" w:customStyle="1" w:styleId="141">
    <w:name w:val="样式 行距: 1.5 倍行距1"/>
    <w:basedOn w:val="1"/>
    <w:qFormat/>
    <w:uiPriority w:val="0"/>
    <w:pPr>
      <w:snapToGrid w:val="0"/>
    </w:pPr>
    <w:rPr>
      <w:sz w:val="21"/>
    </w:rPr>
  </w:style>
  <w:style w:type="paragraph" w:customStyle="1" w:styleId="142">
    <w:name w:val="首行缩进"/>
    <w:basedOn w:val="1"/>
    <w:qFormat/>
    <w:uiPriority w:val="0"/>
    <w:pPr>
      <w:numPr>
        <w:ilvl w:val="0"/>
        <w:numId w:val="8"/>
      </w:numPr>
      <w:spacing w:line="360" w:lineRule="auto"/>
    </w:pPr>
    <w:rPr>
      <w:rFonts w:eastAsia="仿宋_GB2312"/>
    </w:rPr>
  </w:style>
  <w:style w:type="paragraph" w:customStyle="1" w:styleId="143">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44">
    <w:name w:val="表格正文"/>
    <w:basedOn w:val="1"/>
    <w:qFormat/>
    <w:uiPriority w:val="0"/>
    <w:rPr>
      <w:rFonts w:ascii="Calibri" w:hAnsi="Calibri" w:eastAsia="仿宋" w:cs="宋体"/>
      <w:sz w:val="24"/>
    </w:rPr>
  </w:style>
  <w:style w:type="paragraph" w:customStyle="1" w:styleId="145">
    <w:name w:val="Title - Revision"/>
    <w:basedOn w:val="55"/>
    <w:qFormat/>
    <w:uiPriority w:val="0"/>
    <w:pPr>
      <w:spacing w:before="720" w:beforeLines="0" w:beforeAutospacing="0"/>
    </w:pPr>
  </w:style>
  <w:style w:type="paragraph" w:customStyle="1" w:styleId="146">
    <w:name w:val="默认段落字体 Para Char Char Char Char Char Char Char Char Char1 Char Char Char Char"/>
    <w:basedOn w:val="1"/>
    <w:qFormat/>
    <w:uiPriority w:val="0"/>
    <w:rPr>
      <w:rFonts w:ascii="Tahoma" w:hAnsi="Tahoma"/>
      <w:sz w:val="24"/>
    </w:rPr>
  </w:style>
  <w:style w:type="paragraph" w:customStyle="1" w:styleId="14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49">
    <w:name w:val="WPSOffice手动目录 1"/>
    <w:qFormat/>
    <w:uiPriority w:val="0"/>
    <w:rPr>
      <w:rFonts w:ascii="Times New Roman" w:hAnsi="Times New Roman" w:eastAsia="宋体" w:cs="Times New Roman"/>
      <w:lang w:val="en-US" w:eastAsia="zh-CN" w:bidi="ar-SA"/>
    </w:rPr>
  </w:style>
  <w:style w:type="paragraph" w:customStyle="1" w:styleId="150">
    <w:name w:val="文章正文"/>
    <w:basedOn w:val="1"/>
    <w:qFormat/>
    <w:uiPriority w:val="0"/>
    <w:pPr>
      <w:ind w:firstLine="560" w:firstLineChars="200"/>
    </w:pPr>
    <w:rPr>
      <w:rFonts w:ascii="仿宋_GB2312" w:hAnsi="宋体" w:eastAsia="仿宋_GB2312"/>
      <w:color w:val="000000"/>
    </w:rPr>
  </w:style>
  <w:style w:type="paragraph" w:customStyle="1" w:styleId="151">
    <w:name w:val="af"/>
    <w:basedOn w:val="1"/>
    <w:qFormat/>
    <w:uiPriority w:val="0"/>
    <w:pPr>
      <w:widowControl/>
      <w:spacing w:line="300" w:lineRule="atLeast"/>
      <w:jc w:val="left"/>
    </w:pPr>
    <w:rPr>
      <w:rFonts w:ascii="宋体" w:hAnsi="宋体"/>
      <w:kern w:val="0"/>
      <w:sz w:val="18"/>
    </w:rPr>
  </w:style>
  <w:style w:type="paragraph" w:customStyle="1" w:styleId="152">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153">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54">
    <w:name w:val=" Char Char Char Char Char Char Char"/>
    <w:basedOn w:val="1"/>
    <w:qFormat/>
    <w:uiPriority w:val="0"/>
    <w:rPr>
      <w:rFonts w:ascii="Tahoma" w:hAnsi="Tahoma"/>
      <w:sz w:val="24"/>
    </w:rPr>
  </w:style>
  <w:style w:type="paragraph" w:customStyle="1" w:styleId="155">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56">
    <w:name w:val=" Char Char 字元 字元 字元 Char Char Char Char"/>
    <w:basedOn w:val="1"/>
    <w:qFormat/>
    <w:uiPriority w:val="0"/>
    <w:pPr>
      <w:adjustRightInd w:val="0"/>
      <w:spacing w:line="360" w:lineRule="auto"/>
    </w:pPr>
    <w:rPr>
      <w:kern w:val="0"/>
      <w:sz w:val="24"/>
    </w:rPr>
  </w:style>
  <w:style w:type="paragraph" w:customStyle="1" w:styleId="157">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styleId="158">
    <w:name w:val="List Paragraph"/>
    <w:basedOn w:val="1"/>
    <w:qFormat/>
    <w:uiPriority w:val="99"/>
    <w:pPr>
      <w:ind w:firstLine="420" w:firstLineChars="200"/>
    </w:pPr>
    <w:rPr>
      <w:rFonts w:ascii="Calibri" w:hAnsi="Calibri"/>
    </w:rPr>
  </w:style>
  <w:style w:type="paragraph" w:customStyle="1" w:styleId="159">
    <w:name w:val="样式4"/>
    <w:basedOn w:val="7"/>
    <w:qFormat/>
    <w:uiPriority w:val="0"/>
    <w:pPr>
      <w:adjustRightInd w:val="0"/>
      <w:snapToGrid w:val="0"/>
    </w:pPr>
  </w:style>
  <w:style w:type="paragraph" w:customStyle="1" w:styleId="160">
    <w:name w:val="Item Step in Table"/>
    <w:qFormat/>
    <w:uiPriority w:val="0"/>
    <w:pPr>
      <w:numPr>
        <w:ilvl w:val="0"/>
        <w:numId w:val="9"/>
      </w:numPr>
      <w:tabs>
        <w:tab w:val="left" w:pos="397"/>
      </w:tabs>
      <w:spacing w:before="40" w:after="40"/>
      <w:jc w:val="both"/>
    </w:pPr>
    <w:rPr>
      <w:rFonts w:ascii="Arial" w:hAnsi="Arial" w:eastAsia="宋体" w:cs="Times New Roman"/>
      <w:sz w:val="18"/>
      <w:lang w:val="en-US" w:eastAsia="zh-CN" w:bidi="ar-SA"/>
    </w:rPr>
  </w:style>
  <w:style w:type="paragraph" w:customStyle="1" w:styleId="161">
    <w:name w:val="标题2"/>
    <w:basedOn w:val="5"/>
    <w:qFormat/>
    <w:uiPriority w:val="0"/>
    <w:pPr>
      <w:keepNext w:val="0"/>
      <w:keepLines w:val="0"/>
      <w:adjustRightInd w:val="0"/>
      <w:snapToGrid w:val="0"/>
      <w:spacing w:before="0" w:beforeLines="0" w:after="0" w:afterLines="0" w:line="360" w:lineRule="auto"/>
      <w:ind w:firstLine="574" w:firstLineChars="196"/>
      <w:outlineLvl w:val="9"/>
    </w:pPr>
    <w:rPr>
      <w:rFonts w:ascii="宋体" w:hAnsi="宋体" w:eastAsia="宋体"/>
      <w:spacing w:val="6"/>
      <w:sz w:val="28"/>
      <w:u w:val="single"/>
    </w:rPr>
  </w:style>
  <w:style w:type="paragraph" w:customStyle="1" w:styleId="162">
    <w:name w:val=" Char Char1 Char"/>
    <w:basedOn w:val="1"/>
    <w:qFormat/>
    <w:uiPriority w:val="0"/>
    <w:rPr>
      <w:rFonts w:ascii="Tahoma" w:hAnsi="Tahoma"/>
      <w:sz w:val="24"/>
      <w:szCs w:val="24"/>
    </w:rPr>
  </w:style>
  <w:style w:type="paragraph" w:customStyle="1" w:styleId="163">
    <w:name w:val="Char"/>
    <w:basedOn w:val="1"/>
    <w:qFormat/>
    <w:uiPriority w:val="0"/>
    <w:pPr>
      <w:spacing w:line="240" w:lineRule="atLeast"/>
      <w:ind w:left="420" w:firstLine="420"/>
    </w:pPr>
    <w:rPr>
      <w:kern w:val="0"/>
      <w:sz w:val="21"/>
    </w:rPr>
  </w:style>
  <w:style w:type="paragraph" w:customStyle="1" w:styleId="164">
    <w:name w:val="正文（首行不缩进）"/>
    <w:basedOn w:val="1"/>
    <w:qFormat/>
    <w:uiPriority w:val="0"/>
    <w:pPr>
      <w:autoSpaceDE w:val="0"/>
      <w:autoSpaceDN w:val="0"/>
      <w:adjustRightInd w:val="0"/>
      <w:spacing w:line="360" w:lineRule="auto"/>
      <w:jc w:val="left"/>
    </w:pPr>
    <w:rPr>
      <w:kern w:val="0"/>
      <w:sz w:val="21"/>
    </w:rPr>
  </w:style>
  <w:style w:type="paragraph" w:customStyle="1" w:styleId="165">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66">
    <w:name w:val="二级列表"/>
    <w:basedOn w:val="167"/>
    <w:next w:val="167"/>
    <w:qFormat/>
    <w:uiPriority w:val="0"/>
    <w:pPr>
      <w:tabs>
        <w:tab w:val="left" w:pos="2120"/>
      </w:tabs>
      <w:ind w:firstLine="0" w:firstLineChars="0"/>
    </w:pPr>
    <w:rPr>
      <w:b/>
    </w:rPr>
  </w:style>
  <w:style w:type="paragraph" w:customStyle="1" w:styleId="167">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68">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69">
    <w:name w:val="一级条标题"/>
    <w:basedOn w:val="170"/>
    <w:next w:val="147"/>
    <w:qFormat/>
    <w:uiPriority w:val="0"/>
    <w:pPr>
      <w:numPr>
        <w:ilvl w:val="1"/>
        <w:numId w:val="0"/>
      </w:numPr>
      <w:spacing w:before="0" w:beforeLines="0" w:beforeAutospacing="0" w:after="0" w:afterLines="0" w:afterAutospacing="0"/>
      <w:ind w:left="525"/>
      <w:outlineLvl w:val="2"/>
    </w:pPr>
    <w:rPr>
      <w:sz w:val="21"/>
    </w:rPr>
  </w:style>
  <w:style w:type="paragraph" w:customStyle="1" w:styleId="170">
    <w:name w:val="章标题"/>
    <w:next w:val="1"/>
    <w:qFormat/>
    <w:uiPriority w:val="0"/>
    <w:pPr>
      <w:numPr>
        <w:ilvl w:val="1"/>
        <w:numId w:val="9"/>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1">
    <w:name w:val="样式 标题 6第五层条 + 三号 段前: 0.5 行"/>
    <w:basedOn w:val="9"/>
    <w:qFormat/>
    <w:uiPriority w:val="0"/>
    <w:pPr>
      <w:widowControl/>
      <w:numPr>
        <w:ilvl w:val="0"/>
        <w:numId w:val="0"/>
      </w:numPr>
      <w:adjustRightInd/>
      <w:snapToGrid/>
      <w:spacing w:before="156" w:beforeLines="50" w:beforeAutospacing="0"/>
      <w:ind w:left="1152" w:hanging="1152"/>
      <w:jc w:val="left"/>
    </w:pPr>
    <w:rPr>
      <w:snapToGrid w:val="0"/>
      <w:kern w:val="24"/>
      <w:sz w:val="28"/>
    </w:rPr>
  </w:style>
  <w:style w:type="paragraph" w:customStyle="1" w:styleId="172">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7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74">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7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176">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177">
    <w:name w:val="样式1xz"/>
    <w:basedOn w:val="1"/>
    <w:qFormat/>
    <w:uiPriority w:val="0"/>
    <w:pPr>
      <w:tabs>
        <w:tab w:val="left" w:pos="1050"/>
        <w:tab w:val="right" w:leader="dot" w:pos="8296"/>
      </w:tabs>
    </w:pPr>
    <w:rPr>
      <w:caps/>
      <w:spacing w:val="20"/>
      <w:sz w:val="24"/>
    </w:rPr>
  </w:style>
  <w:style w:type="paragraph" w:customStyle="1" w:styleId="178">
    <w:name w:val="样式 首行缩进:  0.74 厘米"/>
    <w:basedOn w:val="1"/>
    <w:qFormat/>
    <w:uiPriority w:val="0"/>
    <w:pPr>
      <w:spacing w:line="360" w:lineRule="auto"/>
      <w:ind w:firstLine="420"/>
    </w:pPr>
    <w:rPr>
      <w:sz w:val="24"/>
    </w:rPr>
  </w:style>
  <w:style w:type="paragraph" w:customStyle="1" w:styleId="179">
    <w:name w:val=" Char1 Char Char Char"/>
    <w:basedOn w:val="1"/>
    <w:qFormat/>
    <w:uiPriority w:val="0"/>
    <w:rPr>
      <w:rFonts w:ascii="Tahoma" w:hAnsi="Tahoma"/>
      <w:sz w:val="24"/>
    </w:rPr>
  </w:style>
  <w:style w:type="paragraph" w:customStyle="1" w:styleId="180">
    <w:name w:val="简单回函地址"/>
    <w:basedOn w:val="1"/>
    <w:qFormat/>
    <w:uiPriority w:val="0"/>
    <w:pPr>
      <w:adjustRightInd w:val="0"/>
      <w:snapToGrid w:val="0"/>
      <w:spacing w:line="360" w:lineRule="auto"/>
    </w:pPr>
    <w:rPr>
      <w:sz w:val="24"/>
    </w:rPr>
  </w:style>
  <w:style w:type="paragraph" w:customStyle="1" w:styleId="18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82">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83">
    <w:name w:val="WPSOffice手动目录 2"/>
    <w:qFormat/>
    <w:uiPriority w:val="0"/>
    <w:pPr>
      <w:ind w:leftChars="200"/>
    </w:pPr>
    <w:rPr>
      <w:rFonts w:ascii="Times New Roman" w:hAnsi="Times New Roman" w:eastAsia="宋体" w:cs="Times New Roman"/>
      <w:lang w:val="en-US" w:eastAsia="zh-CN" w:bidi="ar-SA"/>
    </w:rPr>
  </w:style>
  <w:style w:type="paragraph" w:customStyle="1" w:styleId="184">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5">
    <w:name w:val="摘要"/>
    <w:basedOn w:val="1"/>
    <w:next w:val="5"/>
    <w:qFormat/>
    <w:uiPriority w:val="0"/>
    <w:pPr>
      <w:spacing w:line="360" w:lineRule="auto"/>
    </w:pPr>
    <w:rPr>
      <w:rFonts w:eastAsia="黑体"/>
      <w:sz w:val="20"/>
    </w:rPr>
  </w:style>
  <w:style w:type="paragraph" w:customStyle="1" w:styleId="186">
    <w:name w:val="关键词"/>
    <w:basedOn w:val="1"/>
    <w:next w:val="1"/>
    <w:qFormat/>
    <w:uiPriority w:val="0"/>
    <w:pPr>
      <w:spacing w:line="360" w:lineRule="auto"/>
    </w:pPr>
    <w:rPr>
      <w:rFonts w:eastAsia="黑体"/>
      <w:sz w:val="20"/>
    </w:rPr>
  </w:style>
  <w:style w:type="paragraph" w:customStyle="1" w:styleId="187">
    <w:name w:val="标题3——2"/>
    <w:basedOn w:val="6"/>
    <w:next w:val="2"/>
    <w:qFormat/>
    <w:uiPriority w:val="0"/>
    <w:pPr>
      <w:tabs>
        <w:tab w:val="left" w:pos="1280"/>
        <w:tab w:val="right" w:leader="dot" w:pos="8777"/>
      </w:tabs>
      <w:spacing w:before="312" w:beforeLines="100" w:beforeAutospacing="0" w:after="0" w:afterLines="0" w:afterAutospacing="0" w:line="240" w:lineRule="auto"/>
      <w:ind w:left="851" w:hanging="851"/>
      <w:outlineLvl w:val="9"/>
    </w:pPr>
    <w:rPr>
      <w:rFonts w:ascii="黑体" w:hAnsi="宋体" w:eastAsia="黑体"/>
      <w:sz w:val="30"/>
    </w:rPr>
  </w:style>
  <w:style w:type="paragraph" w:customStyle="1" w:styleId="188">
    <w:name w:val="标题无"/>
    <w:basedOn w:val="1"/>
    <w:qFormat/>
    <w:uiPriority w:val="0"/>
    <w:pPr>
      <w:spacing w:line="360" w:lineRule="auto"/>
    </w:pPr>
    <w:rPr>
      <w:sz w:val="24"/>
    </w:rPr>
  </w:style>
  <w:style w:type="paragraph" w:customStyle="1" w:styleId="189">
    <w:name w:val="样式 样式 首行缩进:  2 字符 + 首行缩进:  2 字符"/>
    <w:basedOn w:val="1"/>
    <w:qFormat/>
    <w:uiPriority w:val="0"/>
    <w:pPr>
      <w:numPr>
        <w:ilvl w:val="0"/>
        <w:numId w:val="11"/>
      </w:numPr>
      <w:tabs>
        <w:tab w:val="clear" w:pos="1230"/>
      </w:tabs>
      <w:spacing w:line="360" w:lineRule="auto"/>
      <w:ind w:firstLine="480" w:firstLineChars="200"/>
    </w:pPr>
    <w:rPr>
      <w:sz w:val="24"/>
    </w:rPr>
  </w:style>
  <w:style w:type="paragraph" w:customStyle="1" w:styleId="190">
    <w:name w:val="表格内文字"/>
    <w:basedOn w:val="31"/>
    <w:qFormat/>
    <w:uiPriority w:val="0"/>
    <w:pPr>
      <w:adjustRightInd w:val="0"/>
    </w:pPr>
    <w:rPr>
      <w:color w:val="000000"/>
      <w:lang w:val="en-GB"/>
    </w:rPr>
  </w:style>
  <w:style w:type="paragraph" w:customStyle="1" w:styleId="191">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2">
    <w:name w:val=" Char Char Char Char Char Char Char Char Char Char Char Char Char Char Char Char"/>
    <w:basedOn w:val="1"/>
    <w:qFormat/>
    <w:uiPriority w:val="0"/>
    <w:pPr>
      <w:tabs>
        <w:tab w:val="left" w:pos="360"/>
      </w:tabs>
    </w:pPr>
    <w:rPr>
      <w:sz w:val="24"/>
    </w:rPr>
  </w:style>
  <w:style w:type="paragraph" w:customStyle="1" w:styleId="193">
    <w:name w:val="二级条标题"/>
    <w:basedOn w:val="169"/>
    <w:next w:val="147"/>
    <w:qFormat/>
    <w:uiPriority w:val="0"/>
    <w:pPr>
      <w:ind w:left="840"/>
      <w:outlineLvl w:val="3"/>
    </w:pPr>
  </w:style>
  <w:style w:type="paragraph" w:customStyle="1" w:styleId="194">
    <w:name w:val="编号正文"/>
    <w:basedOn w:val="139"/>
    <w:qFormat/>
    <w:uiPriority w:val="0"/>
    <w:pPr>
      <w:snapToGrid/>
      <w:spacing w:line="360" w:lineRule="auto"/>
      <w:ind w:left="1407" w:hanging="1047"/>
      <w:jc w:val="left"/>
    </w:pPr>
    <w:rPr>
      <w:rFonts w:eastAsia="仿宋_GB2312"/>
    </w:rPr>
  </w:style>
  <w:style w:type="paragraph" w:customStyle="1" w:styleId="195">
    <w:name w:val="WPSOffice手动目录 3"/>
    <w:qFormat/>
    <w:uiPriority w:val="0"/>
    <w:pPr>
      <w:ind w:leftChars="400"/>
    </w:pPr>
    <w:rPr>
      <w:rFonts w:ascii="Times New Roman" w:hAnsi="Times New Roman" w:eastAsia="宋体" w:cs="Times New Roman"/>
      <w:lang w:val="en-US" w:eastAsia="zh-CN" w:bidi="ar-SA"/>
    </w:rPr>
  </w:style>
  <w:style w:type="paragraph" w:customStyle="1" w:styleId="196">
    <w:name w:val="_"/>
    <w:basedOn w:val="1"/>
    <w:qFormat/>
    <w:uiPriority w:val="0"/>
    <w:pPr>
      <w:adjustRightInd w:val="0"/>
      <w:spacing w:line="360" w:lineRule="auto"/>
      <w:ind w:left="480" w:firstLine="200" w:firstLineChars="200"/>
      <w:textAlignment w:val="baseline"/>
    </w:pPr>
    <w:rPr>
      <w:kern w:val="0"/>
      <w:sz w:val="24"/>
    </w:rPr>
  </w:style>
  <w:style w:type="paragraph" w:customStyle="1" w:styleId="197">
    <w:name w:val="图片文字"/>
    <w:basedOn w:val="1"/>
    <w:qFormat/>
    <w:uiPriority w:val="0"/>
    <w:pPr>
      <w:spacing w:line="240" w:lineRule="atLeast"/>
      <w:jc w:val="center"/>
    </w:pPr>
    <w:rPr>
      <w:sz w:val="21"/>
    </w:rPr>
  </w:style>
  <w:style w:type="paragraph" w:customStyle="1" w:styleId="198">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99">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Note"/>
    <w:basedOn w:val="1"/>
    <w:qFormat/>
    <w:uiPriority w:val="0"/>
    <w:pPr>
      <w:pBdr>
        <w:top w:val="single" w:color="auto" w:sz="12" w:space="3"/>
        <w:bottom w:val="single" w:color="auto" w:sz="12" w:space="3"/>
      </w:pBdr>
      <w:spacing w:line="360" w:lineRule="auto"/>
    </w:pPr>
    <w:rPr>
      <w:sz w:val="24"/>
    </w:rPr>
  </w:style>
  <w:style w:type="paragraph" w:customStyle="1" w:styleId="202">
    <w:name w:val="1.正文"/>
    <w:basedOn w:val="1"/>
    <w:qFormat/>
    <w:uiPriority w:val="0"/>
    <w:pPr>
      <w:spacing w:line="360" w:lineRule="auto"/>
      <w:ind w:left="540" w:leftChars="225" w:firstLine="540" w:firstLineChars="225"/>
    </w:pPr>
    <w:rPr>
      <w:sz w:val="24"/>
    </w:rPr>
  </w:style>
  <w:style w:type="paragraph" w:customStyle="1" w:styleId="203">
    <w:name w:val="文本1"/>
    <w:basedOn w:val="1"/>
    <w:qFormat/>
    <w:uiPriority w:val="0"/>
    <w:pPr>
      <w:adjustRightInd w:val="0"/>
      <w:spacing w:line="312" w:lineRule="atLeast"/>
      <w:jc w:val="center"/>
      <w:textAlignment w:val="baseline"/>
    </w:pPr>
    <w:rPr>
      <w:kern w:val="0"/>
      <w:sz w:val="18"/>
    </w:rPr>
  </w:style>
  <w:style w:type="paragraph" w:customStyle="1" w:styleId="204">
    <w:name w:val="样式 标题 1章标题Heading 0Section HeadPIM 1H1h11st levell11H1..."/>
    <w:basedOn w:val="4"/>
    <w:qFormat/>
    <w:uiPriority w:val="0"/>
    <w:pPr>
      <w:keepLines/>
      <w:pageBreakBefore/>
      <w:tabs>
        <w:tab w:val="left" w:pos="432"/>
      </w:tabs>
      <w:autoSpaceDE w:val="0"/>
      <w:autoSpaceDN w:val="0"/>
      <w:adjustRightInd w:val="0"/>
      <w:spacing w:before="340" w:beforeLines="0" w:beforeAutospacing="0" w:after="330" w:afterLines="0" w:afterAutospacing="0" w:line="578" w:lineRule="atLeast"/>
      <w:textAlignment w:val="bottom"/>
    </w:pPr>
    <w:rPr>
      <w:rFonts w:hAnsi="宋体" w:eastAsia="黑体"/>
      <w:b w:val="0"/>
      <w:kern w:val="44"/>
      <w:sz w:val="36"/>
    </w:rPr>
  </w:style>
  <w:style w:type="paragraph" w:customStyle="1" w:styleId="205">
    <w:name w:val="样式2"/>
    <w:basedOn w:val="7"/>
    <w:qFormat/>
    <w:uiPriority w:val="0"/>
    <w:pPr>
      <w:numPr>
        <w:ilvl w:val="0"/>
        <w:numId w:val="12"/>
      </w:numPr>
      <w:spacing w:before="560" w:beforeLines="0" w:line="400" w:lineRule="exact"/>
      <w:jc w:val="center"/>
      <w:outlineLvl w:val="0"/>
    </w:pPr>
    <w:rPr>
      <w:b w:val="0"/>
      <w:sz w:val="44"/>
    </w:rPr>
  </w:style>
  <w:style w:type="paragraph" w:customStyle="1" w:styleId="206">
    <w:name w:val="表文字"/>
    <w:qFormat/>
    <w:uiPriority w:val="0"/>
    <w:rPr>
      <w:rFonts w:ascii="宋体" w:hAnsi="Times New Roman" w:eastAsia="宋体" w:cs="Times New Roman"/>
      <w:kern w:val="2"/>
      <w:lang w:val="en-US" w:eastAsia="zh-CN" w:bidi="ar-SA"/>
    </w:rPr>
  </w:style>
  <w:style w:type="paragraph" w:customStyle="1" w:styleId="207">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08">
    <w:name w:val="IN Feature"/>
    <w:next w:val="20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21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2">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213">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214">
    <w:name w:val="Table Contents"/>
    <w:basedOn w:val="3"/>
    <w:qFormat/>
    <w:uiPriority w:val="0"/>
    <w:pPr>
      <w:suppressAutoHyphens/>
      <w:jc w:val="left"/>
    </w:pPr>
    <w:rPr>
      <w:rFonts w:ascii="Times New Roman" w:eastAsia="Times New Roman"/>
      <w:kern w:val="0"/>
      <w:sz w:val="24"/>
    </w:rPr>
  </w:style>
  <w:style w:type="paragraph" w:customStyle="1" w:styleId="215">
    <w:name w:val="索引 51"/>
    <w:basedOn w:val="1"/>
    <w:next w:val="1"/>
    <w:qFormat/>
    <w:uiPriority w:val="0"/>
    <w:pPr>
      <w:ind w:left="1680"/>
    </w:pPr>
  </w:style>
  <w:style w:type="paragraph" w:customStyle="1" w:styleId="216">
    <w:name w:val="1"/>
    <w:basedOn w:val="1"/>
    <w:next w:val="31"/>
    <w:qFormat/>
    <w:uiPriority w:val="0"/>
    <w:rPr>
      <w:rFonts w:ascii="宋体" w:hAnsi="Courier New"/>
      <w:sz w:val="21"/>
    </w:rPr>
  </w:style>
  <w:style w:type="paragraph" w:customStyle="1" w:styleId="217">
    <w:name w:val="正文表格"/>
    <w:basedOn w:val="1"/>
    <w:qFormat/>
    <w:uiPriority w:val="0"/>
    <w:pPr>
      <w:adjustRightInd w:val="0"/>
      <w:spacing w:before="40" w:beforeLines="0" w:beforeAutospacing="0" w:after="40" w:afterLines="0" w:afterAutospacing="0"/>
    </w:pPr>
    <w:rPr>
      <w:sz w:val="24"/>
    </w:rPr>
  </w:style>
  <w:style w:type="paragraph" w:customStyle="1" w:styleId="218">
    <w:name w:val="首行缩进 1"/>
    <w:basedOn w:val="1"/>
    <w:qFormat/>
    <w:uiPriority w:val="0"/>
    <w:pPr>
      <w:spacing w:after="120" w:afterLines="0" w:afterAutospacing="0" w:line="360" w:lineRule="auto"/>
      <w:ind w:firstLine="200" w:firstLineChars="200"/>
    </w:pPr>
    <w:rPr>
      <w:sz w:val="24"/>
    </w:rPr>
  </w:style>
  <w:style w:type="paragraph" w:customStyle="1" w:styleId="219">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220">
    <w:name w:val="附录4"/>
    <w:basedOn w:val="1"/>
    <w:next w:val="1"/>
    <w:qFormat/>
    <w:uiPriority w:val="0"/>
    <w:pPr>
      <w:widowControl/>
      <w:numPr>
        <w:ilvl w:val="0"/>
        <w:numId w:val="0"/>
      </w:numPr>
      <w:tabs>
        <w:tab w:val="left" w:pos="1134"/>
      </w:tabs>
      <w:spacing w:line="300" w:lineRule="auto"/>
      <w:ind w:left="1361" w:hanging="1361"/>
      <w:outlineLvl w:val="3"/>
    </w:pPr>
    <w:rPr>
      <w:rFonts w:ascii="Arial" w:hAnsi="Arial" w:eastAsia="黑体"/>
      <w:kern w:val="0"/>
    </w:rPr>
  </w:style>
  <w:style w:type="paragraph" w:customStyle="1" w:styleId="221">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22">
    <w:name w:val="00"/>
    <w:basedOn w:val="1"/>
    <w:qFormat/>
    <w:uiPriority w:val="0"/>
    <w:pPr>
      <w:autoSpaceDE w:val="0"/>
      <w:autoSpaceDN w:val="0"/>
      <w:adjustRightInd w:val="0"/>
      <w:jc w:val="left"/>
    </w:pPr>
    <w:rPr>
      <w:rFonts w:ascii="黑体" w:eastAsia="黑体"/>
      <w:b/>
      <w:kern w:val="0"/>
      <w:sz w:val="20"/>
    </w:rPr>
  </w:style>
  <w:style w:type="paragraph" w:customStyle="1" w:styleId="223">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224">
    <w:name w:val="操作步骤"/>
    <w:basedOn w:val="1"/>
    <w:qFormat/>
    <w:uiPriority w:val="0"/>
    <w:pPr>
      <w:numPr>
        <w:ilvl w:val="0"/>
        <w:numId w:val="1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25">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226">
    <w:name w:val=" Char Char14 Char Char"/>
    <w:basedOn w:val="1"/>
    <w:qFormat/>
    <w:uiPriority w:val="0"/>
    <w:rPr>
      <w:sz w:val="21"/>
      <w:szCs w:val="24"/>
    </w:rPr>
  </w:style>
  <w:style w:type="paragraph" w:customStyle="1" w:styleId="227">
    <w:name w:val=" Char2 Char Char Char Char Char Char"/>
    <w:basedOn w:val="1"/>
    <w:qFormat/>
    <w:uiPriority w:val="0"/>
    <w:rPr>
      <w:rFonts w:ascii="仿宋_GB2312"/>
      <w:b/>
      <w:sz w:val="30"/>
    </w:rPr>
  </w:style>
  <w:style w:type="paragraph" w:customStyle="1" w:styleId="228">
    <w:name w:val=" Char1"/>
    <w:basedOn w:val="1"/>
    <w:qFormat/>
    <w:uiPriority w:val="0"/>
    <w:rPr>
      <w:sz w:val="21"/>
    </w:rPr>
  </w:style>
  <w:style w:type="paragraph" w:customStyle="1" w:styleId="229">
    <w:name w:val="标准正文"/>
    <w:basedOn w:val="24"/>
    <w:qFormat/>
    <w:uiPriority w:val="0"/>
    <w:pPr>
      <w:spacing w:before="60" w:beforeLines="0" w:after="60" w:afterLines="0" w:line="360" w:lineRule="auto"/>
      <w:ind w:left="0" w:firstLine="482"/>
    </w:pPr>
    <w:rPr>
      <w:rFonts w:ascii="Arial" w:hAnsi="Arial"/>
      <w:sz w:val="24"/>
    </w:rPr>
  </w:style>
  <w:style w:type="paragraph" w:customStyle="1" w:styleId="23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31">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232">
    <w:name w:val="表头文本"/>
    <w:qFormat/>
    <w:uiPriority w:val="0"/>
    <w:pPr>
      <w:jc w:val="center"/>
    </w:pPr>
    <w:rPr>
      <w:rFonts w:ascii="Arial" w:hAnsi="Arial" w:eastAsia="宋体" w:cs="Times New Roman"/>
      <w:b/>
      <w:sz w:val="21"/>
      <w:lang w:val="en-US" w:eastAsia="zh-CN" w:bidi="ar-SA"/>
    </w:rPr>
  </w:style>
  <w:style w:type="paragraph" w:customStyle="1" w:styleId="233">
    <w:name w:val="样式1"/>
    <w:basedOn w:val="7"/>
    <w:qFormat/>
    <w:uiPriority w:val="0"/>
    <w:pPr>
      <w:tabs>
        <w:tab w:val="left" w:pos="720"/>
      </w:tabs>
      <w:spacing w:before="500" w:beforeLines="0" w:beforeAutospacing="0" w:after="260" w:afterLines="0" w:afterAutospacing="0" w:line="560" w:lineRule="atLeast"/>
      <w:ind w:left="420" w:hanging="420"/>
    </w:pPr>
  </w:style>
  <w:style w:type="paragraph" w:customStyle="1" w:styleId="234">
    <w:name w:val="样式 正文缩进正文（首行缩进两字）表正文正文非缩进特点标题4段1 + 首行缩进:  2 字符"/>
    <w:basedOn w:val="17"/>
    <w:qFormat/>
    <w:uiPriority w:val="0"/>
    <w:pPr>
      <w:ind w:firstLine="480" w:firstLineChars="200"/>
    </w:pPr>
  </w:style>
  <w:style w:type="paragraph" w:customStyle="1" w:styleId="23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36">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237">
    <w:name w:val="CSS1级正文 Char"/>
    <w:basedOn w:val="3"/>
    <w:qFormat/>
    <w:uiPriority w:val="0"/>
    <w:pPr>
      <w:adjustRightInd w:val="0"/>
      <w:snapToGrid w:val="0"/>
      <w:spacing w:line="360" w:lineRule="auto"/>
      <w:ind w:firstLine="480"/>
    </w:pPr>
    <w:rPr>
      <w:rFonts w:ascii="Times New Roman" w:eastAsia="宋体"/>
      <w:sz w:val="24"/>
    </w:rPr>
  </w:style>
  <w:style w:type="paragraph" w:customStyle="1" w:styleId="238">
    <w:name w:val="Char Char Char Char Char Char Char"/>
    <w:basedOn w:val="19"/>
    <w:qFormat/>
    <w:uiPriority w:val="0"/>
    <w:rPr>
      <w:rFonts w:ascii="宋体" w:hAnsi="Tahoma"/>
    </w:rPr>
  </w:style>
  <w:style w:type="paragraph" w:customStyle="1" w:styleId="239">
    <w:name w:val="bt"/>
    <w:basedOn w:val="1"/>
    <w:next w:val="3"/>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240">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41">
    <w:name w:val="Title - Date"/>
    <w:basedOn w:val="55"/>
    <w:next w:val="1"/>
    <w:qFormat/>
    <w:uiPriority w:val="0"/>
    <w:pPr>
      <w:spacing w:before="240" w:beforeLines="0" w:beforeAutospacing="0" w:after="720" w:afterLines="0" w:afterAutospacing="0"/>
    </w:pPr>
    <w:rPr>
      <w:sz w:val="28"/>
    </w:rPr>
  </w:style>
  <w:style w:type="paragraph" w:customStyle="1" w:styleId="242">
    <w:name w:val="表头"/>
    <w:basedOn w:val="144"/>
    <w:qFormat/>
    <w:uiPriority w:val="0"/>
    <w:pPr>
      <w:jc w:val="center"/>
    </w:pPr>
    <w:rPr>
      <w:b/>
      <w:bCs/>
    </w:rPr>
  </w:style>
  <w:style w:type="paragraph" w:customStyle="1" w:styleId="243">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244">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245">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4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47">
    <w:name w:val="Style Heading 3h3Heading 3 - oldLevel 3 HeadH3level_3PIM 3se..."/>
    <w:basedOn w:val="6"/>
    <w:qFormat/>
    <w:uiPriority w:val="0"/>
    <w:pPr>
      <w:numPr>
        <w:ilvl w:val="2"/>
        <w:numId w:val="2"/>
      </w:numPr>
      <w:tabs>
        <w:tab w:val="left" w:pos="709"/>
        <w:tab w:val="left" w:pos="1620"/>
      </w:tabs>
      <w:spacing w:line="413" w:lineRule="auto"/>
    </w:pPr>
  </w:style>
  <w:style w:type="paragraph" w:customStyle="1" w:styleId="248">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249">
    <w:name w:val="样式3"/>
    <w:basedOn w:val="4"/>
    <w:next w:val="4"/>
    <w:qFormat/>
    <w:uiPriority w:val="0"/>
    <w:pPr>
      <w:keepLines/>
      <w:adjustRightInd w:val="0"/>
      <w:spacing w:before="340" w:beforeLines="0" w:beforeAutospacing="0" w:after="330" w:afterLines="0" w:afterAutospacing="0" w:line="576" w:lineRule="auto"/>
    </w:pPr>
    <w:rPr>
      <w:rFonts w:ascii="Times New Roman" w:eastAsia="黑体"/>
      <w:b w:val="0"/>
      <w:kern w:val="44"/>
      <w:sz w:val="44"/>
    </w:rPr>
  </w:style>
  <w:style w:type="paragraph" w:customStyle="1" w:styleId="250">
    <w:name w:val="默认段落字体 Para Char Char Char Char Char Char Char"/>
    <w:basedOn w:val="1"/>
    <w:qFormat/>
    <w:uiPriority w:val="0"/>
    <w:rPr>
      <w:rFonts w:ascii="Tahoma" w:hAnsi="Tahoma"/>
      <w:sz w:val="24"/>
    </w:rPr>
  </w:style>
  <w:style w:type="paragraph" w:customStyle="1" w:styleId="251">
    <w:name w:val="正文-田"/>
    <w:basedOn w:val="1"/>
    <w:qFormat/>
    <w:uiPriority w:val="0"/>
    <w:rPr>
      <w:rFonts w:eastAsia="仿宋"/>
      <w:sz w:val="28"/>
    </w:rPr>
  </w:style>
  <w:style w:type="paragraph" w:customStyle="1" w:styleId="252">
    <w:name w:val="null3"/>
    <w:qFormat/>
    <w:uiPriority w:val="0"/>
    <w:rPr>
      <w:rFonts w:hint="eastAsia" w:ascii="Times New Roman" w:hAnsi="Times New Roman" w:eastAsia="宋体" w:cs="Times New Roman"/>
      <w:lang w:val="en-US" w:eastAsia="zh-CN" w:bidi="ar-SA"/>
    </w:rPr>
  </w:style>
  <w:style w:type="paragraph" w:styleId="253">
    <w:name w:val="No Spacing"/>
    <w:qFormat/>
    <w:uiPriority w:val="0"/>
    <w:pPr>
      <w:adjustRightInd w:val="0"/>
      <w:snapToGrid w:val="0"/>
    </w:pPr>
    <w:rPr>
      <w:rFonts w:ascii="Tahoma" w:hAnsi="Tahoma" w:eastAsia="微软雅黑" w:cs="Times New Roman"/>
      <w:sz w:val="22"/>
      <w:szCs w:val="22"/>
      <w:lang w:val="en-US" w:eastAsia="zh-CN" w:bidi="ar-SA"/>
    </w:rPr>
  </w:style>
  <w:style w:type="table" w:customStyle="1" w:styleId="254">
    <w:name w:val="Table Normal"/>
    <w:unhideWhenUsed/>
    <w:qFormat/>
    <w:uiPriority w:val="0"/>
    <w:tblPr>
      <w:tblCellMar>
        <w:top w:w="0" w:type="dxa"/>
        <w:left w:w="0" w:type="dxa"/>
        <w:bottom w:w="0" w:type="dxa"/>
        <w:right w:w="0" w:type="dxa"/>
      </w:tblCellMar>
    </w:tblPr>
  </w:style>
  <w:style w:type="paragraph" w:customStyle="1" w:styleId="255">
    <w:name w:val="p0"/>
    <w:basedOn w:val="1"/>
    <w:qFormat/>
    <w:uiPriority w:val="0"/>
    <w:pPr>
      <w:spacing w:line="240" w:lineRule="auto"/>
      <w:ind w:firstLine="0" w:firstLineChars="0"/>
    </w:pPr>
    <w:rPr>
      <w:rFonts w:ascii="Calibri" w:hAnsi="Calibri" w:eastAsia="宋体" w:cs="宋体"/>
      <w:kern w:val="0"/>
    </w:rPr>
  </w:style>
  <w:style w:type="paragraph" w:customStyle="1" w:styleId="256">
    <w:name w:val="无间隔1"/>
    <w:basedOn w:val="1"/>
    <w:qFormat/>
    <w:uiPriority w:val="1"/>
    <w:pPr>
      <w:spacing w:line="400" w:lineRule="exact"/>
    </w:pPr>
    <w:rPr>
      <w:sz w:val="24"/>
    </w:rPr>
  </w:style>
  <w:style w:type="character" w:customStyle="1" w:styleId="257">
    <w:name w:val="font61"/>
    <w:basedOn w:val="60"/>
    <w:qFormat/>
    <w:uiPriority w:val="0"/>
    <w:rPr>
      <w:rFonts w:hint="eastAsia" w:ascii="宋体" w:hAnsi="宋体" w:eastAsia="宋体" w:cs="宋体"/>
      <w:color w:val="000000"/>
      <w:sz w:val="24"/>
      <w:szCs w:val="24"/>
      <w:u w:val="none"/>
    </w:rPr>
  </w:style>
  <w:style w:type="character" w:customStyle="1" w:styleId="258">
    <w:name w:val="10"/>
    <w:basedOn w:val="60"/>
    <w:qFormat/>
    <w:uiPriority w:val="0"/>
    <w:rPr>
      <w:rFonts w:hint="default" w:ascii="Times New Roman" w:hAnsi="Times New Roman" w:cs="Times New Roman"/>
    </w:rPr>
  </w:style>
  <w:style w:type="character" w:customStyle="1" w:styleId="259">
    <w:name w:val="15"/>
    <w:basedOn w:val="6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9003</Words>
  <Characters>9276</Characters>
  <Lines>161</Lines>
  <Paragraphs>45</Paragraphs>
  <TotalTime>14</TotalTime>
  <ScaleCrop>false</ScaleCrop>
  <LinksUpToDate>false</LinksUpToDate>
  <CharactersWithSpaces>9399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2022-03-23T03:41:00Z</dcterms:created>
  <dc:creator>罗成</dc:creator>
  <cp:lastModifiedBy>Lee</cp:lastModifiedBy>
  <cp:lastPrinted>2026-03-11T02:11:00Z</cp:lastPrinted>
  <dcterms:modified xsi:type="dcterms:W3CDTF">2026-07-06T01:47:43Z</dcterms:modified>
  <dc:title>竞争性谈判文件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FD89FDEC543F467882BC1324A5D35052_13</vt:lpwstr>
  </property>
  <property fmtid="{D5CDD505-2E9C-101B-9397-08002B2CF9AE}" pid="4" name="KSOTemplateDocerSaveRecord">
    <vt:lpwstr>eyJoZGlkIjoiMGNhYTczOTE1N2MwZWFmOTgzODAxNzA2NzEwM2VlN2YiLCJ1c2VySWQiOiIyNzY2MzA5OTgifQ==</vt:lpwstr>
  </property>
</Properties>
</file>