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2026FW065</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大安院区纱窗改造服务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kern w:val="2"/>
          <w:sz w:val="44"/>
          <w:szCs w:val="44"/>
          <w:lang w:val="en-US" w:eastAsia="zh-CN" w:bidi="ar-SA"/>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sz w:val="44"/>
              <w:szCs w:val="44"/>
            </w:rPr>
          </w:pPr>
          <w:r>
            <w:rPr>
              <w:rFonts w:ascii="宋体" w:hAnsi="宋体" w:eastAsia="宋体"/>
              <w:sz w:val="44"/>
              <w:szCs w:val="44"/>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_Toc23588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第一篇  比选邀请书</w:t>
          </w:r>
          <w:r>
            <w:tab/>
          </w:r>
          <w:r>
            <w:fldChar w:fldCharType="begin"/>
          </w:r>
          <w:r>
            <w:instrText xml:space="preserve"> PAGEREF _Toc23588 \h </w:instrText>
          </w:r>
          <w:r>
            <w:fldChar w:fldCharType="separate"/>
          </w:r>
          <w:r>
            <w:t>2</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_Toc25322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第二篇 供应商须知</w:t>
          </w:r>
          <w:r>
            <w:tab/>
          </w:r>
          <w:r>
            <w:fldChar w:fldCharType="begin"/>
          </w:r>
          <w:r>
            <w:instrText xml:space="preserve"> PAGEREF _Toc25322 \h </w:instrText>
          </w:r>
          <w:r>
            <w:fldChar w:fldCharType="separate"/>
          </w:r>
          <w:r>
            <w:t>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_Toc7206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第三篇  项目服务需求</w:t>
          </w:r>
          <w:r>
            <w:tab/>
          </w:r>
          <w:r>
            <w:fldChar w:fldCharType="begin"/>
          </w:r>
          <w:r>
            <w:instrText xml:space="preserve"> PAGEREF _Toc7206 \h </w:instrText>
          </w:r>
          <w:r>
            <w:fldChar w:fldCharType="separate"/>
          </w:r>
          <w:r>
            <w:t>13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_Toc17014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第四篇  项目商务需求</w:t>
          </w:r>
          <w:r>
            <w:tab/>
          </w:r>
          <w:r>
            <w:fldChar w:fldCharType="begin"/>
          </w:r>
          <w:r>
            <w:instrText xml:space="preserve"> PAGEREF _Toc17014 \h </w:instrText>
          </w:r>
          <w:r>
            <w:fldChar w:fldCharType="separate"/>
          </w:r>
          <w:r>
            <w:t>14</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_Toc26989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第五篇  合同草案条款</w:t>
          </w:r>
          <w:r>
            <w:tab/>
          </w:r>
          <w:r>
            <w:fldChar w:fldCharType="begin"/>
          </w:r>
          <w:r>
            <w:instrText xml:space="preserve"> PAGEREF _Toc26989 \h </w:instrText>
          </w:r>
          <w:r>
            <w:fldChar w:fldCharType="separate"/>
          </w:r>
          <w:r>
            <w:t>15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_Toc14085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第六篇  响应文件格式要求</w:t>
          </w:r>
          <w:r>
            <w:tab/>
          </w:r>
          <w:r>
            <w:fldChar w:fldCharType="begin"/>
          </w:r>
          <w:r>
            <w:instrText xml:space="preserve"> PAGEREF _Toc14085 \h </w:instrText>
          </w:r>
          <w:r>
            <w:fldChar w:fldCharType="separate"/>
          </w:r>
          <w:r>
            <w:t>17</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_Toc5685 </w:instrText>
          </w:r>
          <w:r>
            <w:rPr>
              <w:rFonts w:hint="eastAsia" w:ascii="宋体" w:hAnsi="宋体" w:eastAsia="宋体" w:cs="宋体"/>
              <w:szCs w:val="28"/>
              <w:shd w:val="clear" w:color="auto" w:fill="auto"/>
            </w:rPr>
            <w:fldChar w:fldCharType="separate"/>
          </w:r>
          <w:r>
            <w:rPr>
              <w:rFonts w:hint="eastAsia" w:ascii="宋体" w:hAnsi="宋体" w:cs="宋体"/>
              <w:szCs w:val="24"/>
              <w:shd w:val="clear" w:color="auto" w:fill="auto"/>
              <w:lang w:eastAsia="zh-CN"/>
            </w:rPr>
            <w:t>（一）</w:t>
          </w:r>
          <w:r>
            <w:rPr>
              <w:rFonts w:hint="eastAsia" w:ascii="宋体" w:hAnsi="宋体" w:eastAsia="宋体" w:cs="宋体"/>
              <w:szCs w:val="24"/>
              <w:shd w:val="clear" w:color="auto" w:fill="auto"/>
            </w:rPr>
            <w:t>其他应提供的资料</w:t>
          </w:r>
          <w:r>
            <w:tab/>
          </w:r>
          <w:r>
            <w:fldChar w:fldCharType="begin"/>
          </w:r>
          <w:r>
            <w:instrText xml:space="preserve"> PAGEREF _Toc5685 \h </w:instrText>
          </w:r>
          <w:r>
            <w:fldChar w:fldCharType="separate"/>
          </w:r>
          <w:r>
            <w:t>18</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_Toc12908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（二）</w:t>
          </w:r>
          <w:r>
            <w:rPr>
              <w:rFonts w:hint="eastAsia" w:ascii="宋体" w:hAnsi="宋体" w:eastAsia="宋体" w:cs="宋体"/>
              <w:shd w:val="clear" w:color="auto" w:fill="auto"/>
            </w:rPr>
            <w:t>服务部分</w:t>
          </w:r>
          <w:r>
            <w:tab/>
          </w:r>
          <w:r>
            <w:fldChar w:fldCharType="begin"/>
          </w:r>
          <w:r>
            <w:instrText xml:space="preserve"> PAGEREF _Toc12908 \h </w:instrText>
          </w:r>
          <w:r>
            <w:fldChar w:fldCharType="separate"/>
          </w:r>
          <w:r>
            <w:t>21</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_Toc15203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（三）</w:t>
          </w:r>
          <w:r>
            <w:rPr>
              <w:rFonts w:hint="eastAsia" w:ascii="宋体" w:hAnsi="宋体" w:eastAsia="宋体" w:cs="宋体"/>
              <w:shd w:val="clear" w:color="auto" w:fill="auto"/>
            </w:rPr>
            <w:t>商务部分</w:t>
          </w:r>
          <w:r>
            <w:tab/>
          </w:r>
          <w:r>
            <w:fldChar w:fldCharType="begin"/>
          </w:r>
          <w:r>
            <w:instrText xml:space="preserve"> PAGEREF _Toc15203 \h </w:instrText>
          </w:r>
          <w:r>
            <w:fldChar w:fldCharType="separate"/>
          </w:r>
          <w:r>
            <w:t>23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_Toc9941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（四）</w:t>
          </w:r>
          <w:r>
            <w:rPr>
              <w:rFonts w:hint="eastAsia" w:ascii="宋体" w:hAnsi="宋体" w:eastAsia="宋体" w:cs="宋体"/>
              <w:shd w:val="clear" w:color="auto" w:fill="auto"/>
            </w:rPr>
            <w:t>资格条件及其他</w:t>
          </w:r>
          <w:r>
            <w:tab/>
          </w:r>
          <w:r>
            <w:fldChar w:fldCharType="begin"/>
          </w:r>
          <w:r>
            <w:instrText xml:space="preserve"> PAGEREF _Toc9941 \h </w:instrText>
          </w:r>
          <w:r>
            <w:fldChar w:fldCharType="separate"/>
          </w:r>
          <w:r>
            <w:t>26</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25875"/>
      <w:bookmarkStart w:id="2" w:name="_Toc485108766"/>
      <w:bookmarkStart w:id="3" w:name="_Toc23588"/>
      <w:bookmarkStart w:id="4" w:name="_Toc6921"/>
      <w:bookmarkStart w:id="5" w:name="_Toc11641050"/>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大安院区纱窗改造服务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28443"/>
      <w:bookmarkStart w:id="10" w:name="_Toc317775175"/>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大安院区纱窗改造服务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：自筹资金,项目预算：8.44万元/三年。</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建筑业企业资质证书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建筑工程施工总承包贰级及以上）</w:t>
      </w:r>
    </w:p>
    <w:p w14:paraId="031E0D82">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2.有效的</w:t>
      </w:r>
      <w:r>
        <w:rPr>
          <w:rFonts w:hint="eastAsia" w:ascii="宋体" w:hAnsi="宋体" w:eastAsia="宋体" w:cs="宋体"/>
          <w:color w:val="000000" w:themeColor="text1"/>
          <w:sz w:val="24"/>
          <w:szCs w:val="24"/>
          <w:shd w:val="clear" w:color="auto" w:fill="auto"/>
          <w14:textFill>
            <w14:solidFill>
              <w14:schemeClr w14:val="tx1"/>
            </w14:solidFill>
          </w14:textFill>
        </w:rPr>
        <w:t>安全生产许可证</w:t>
      </w:r>
    </w:p>
    <w:p w14:paraId="539A8D3E">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注：以上</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1-2项，需提供相应的证明材料并加盖公章。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本</w:t>
      </w:r>
      <w:r>
        <w:rPr>
          <w:rFonts w:hint="eastAsia" w:ascii="宋体" w:hAnsi="宋体" w:eastAsia="宋体" w:cs="宋体"/>
          <w:color w:val="FF0000"/>
          <w:sz w:val="24"/>
          <w:szCs w:val="24"/>
          <w:shd w:val="clear" w:color="auto" w:fill="auto"/>
          <w:lang w:eastAsia="zh-CN"/>
        </w:rPr>
        <w:t>项目</w:t>
      </w:r>
      <w:r>
        <w:rPr>
          <w:rFonts w:hint="eastAsia" w:ascii="宋体" w:hAnsi="宋体" w:eastAsia="宋体" w:cs="宋体"/>
          <w:color w:val="FF0000"/>
          <w:sz w:val="24"/>
          <w:szCs w:val="24"/>
          <w:shd w:val="clear" w:color="auto" w:fill="auto"/>
        </w:rPr>
        <w:t>为总价包干（包含但不限于人工费、材料费、机械费、保险费、税费等各项费用）。</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根据2018年《重庆市房屋建筑与装饰工程计价定额》《重庆市通用安装工程计价定额》《重庆市房屋修缮工程计价定额》及相关配套文件自主报价。</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应充分考虑完成本</w:t>
      </w:r>
      <w:r>
        <w:rPr>
          <w:rFonts w:hint="eastAsia" w:ascii="宋体" w:hAnsi="宋体" w:eastAsia="宋体" w:cs="宋体"/>
          <w:color w:val="FF0000"/>
          <w:sz w:val="24"/>
          <w:szCs w:val="24"/>
          <w:shd w:val="clear" w:color="auto" w:fill="auto"/>
          <w:lang w:val="en-US" w:eastAsia="zh-CN"/>
        </w:rPr>
        <w:t>项目</w:t>
      </w:r>
      <w:r>
        <w:rPr>
          <w:rFonts w:hint="eastAsia" w:ascii="宋体" w:hAnsi="宋体" w:eastAsia="宋体" w:cs="宋体"/>
          <w:color w:val="FF0000"/>
          <w:sz w:val="24"/>
          <w:szCs w:val="24"/>
          <w:shd w:val="clear" w:color="auto" w:fill="auto"/>
        </w:rPr>
        <w:t>的各种因素</w:t>
      </w:r>
      <w:r>
        <w:rPr>
          <w:rFonts w:hint="eastAsia" w:ascii="宋体" w:hAnsi="宋体" w:eastAsia="宋体" w:cs="宋体"/>
          <w:color w:val="FF0000"/>
          <w:sz w:val="24"/>
          <w:szCs w:val="24"/>
          <w:shd w:val="clear" w:color="auto" w:fill="auto"/>
          <w:lang w:val="en-US" w:eastAsia="zh-CN"/>
        </w:rPr>
        <w:t>且必须</w:t>
      </w:r>
      <w:r>
        <w:rPr>
          <w:rFonts w:hint="eastAsia" w:ascii="宋体" w:hAnsi="宋体" w:eastAsia="宋体" w:cs="宋体"/>
          <w:color w:val="FF0000"/>
          <w:sz w:val="24"/>
          <w:szCs w:val="24"/>
          <w:shd w:val="clear" w:color="auto" w:fill="auto"/>
        </w:rPr>
        <w:t>满足</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lang w:val="en-US" w:eastAsia="zh-CN"/>
        </w:rPr>
        <w:t>的</w:t>
      </w:r>
      <w:r>
        <w:rPr>
          <w:rFonts w:hint="eastAsia" w:ascii="宋体" w:hAnsi="宋体" w:eastAsia="宋体" w:cs="宋体"/>
          <w:color w:val="FF0000"/>
          <w:sz w:val="24"/>
          <w:szCs w:val="24"/>
          <w:shd w:val="clear" w:color="auto" w:fill="auto"/>
        </w:rPr>
        <w:t>使用要求。</w:t>
      </w:r>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52E05F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项目内容：大安院区新增铝合金纱窗大致内容如下，大安院区住院部A区2-4楼外窗户、住院部B区2-4楼外窗户铝合金金刚网纱窗，铝合金厚度1.2毫米，窗户规格约1.2m*1.5m共计约193个，安全文明施工费、措施费等由各参选供应商结合自身情况统一报价。</w:t>
      </w:r>
    </w:p>
    <w:p w14:paraId="0ACC1D6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质量要求：本项目中所使用的各项材料须为正规厂家生产的全新合格产品，产品质量须符合国家相关行业的产品质量标准及要求，各项材料须出具产品合格证书及相应的出厂检测报告，检测报告必须真实有效且能够查询；施工质量应达到国家相关规范、标准及要求，施工完成后需满足采购方使用要求并提供完整的竣工资料两份。</w:t>
      </w:r>
    </w:p>
    <w:p w14:paraId="58D06CAC">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3、人员要求：本项目焊工须具有中华人民共和国应急管理部（原国家安全生产监督管理局）颁发的“焊接与热切割作业”，持证人数不得低于一人且为本公司员工（提供社保证明）。</w:t>
      </w:r>
    </w:p>
    <w:p w14:paraId="1702757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4</w:t>
      </w:r>
      <w:r>
        <w:rPr>
          <w:rFonts w:hint="eastAsia" w:ascii="宋体" w:hAnsi="宋体" w:eastAsia="宋体" w:cs="宋体"/>
          <w:color w:val="FF0000"/>
          <w:sz w:val="24"/>
          <w:szCs w:val="24"/>
          <w:shd w:val="clear" w:color="auto" w:fill="auto"/>
          <w:lang w:val="en-US" w:eastAsia="zh-CN"/>
        </w:rPr>
        <w:t>、开工前责任科室需提交临时施工许可证申请，相关部门审核通过后并办理了临时施工许可证后方可进行施工。在施工过程中，中标方应采取有效的安全措施，保证施工人员和其他人员的人身安全，并承担因安全事故导致的一切经济和法律责任。如有损坏财产须照价赔偿。并遵守安全文明施工。</w:t>
      </w:r>
    </w:p>
    <w:p w14:paraId="056F45D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5</w:t>
      </w:r>
      <w:r>
        <w:rPr>
          <w:rFonts w:hint="eastAsia" w:ascii="宋体" w:hAnsi="宋体" w:eastAsia="宋体" w:cs="宋体"/>
          <w:color w:val="FF0000"/>
          <w:sz w:val="24"/>
          <w:szCs w:val="24"/>
          <w:shd w:val="clear" w:color="auto" w:fill="auto"/>
          <w:lang w:val="en-US" w:eastAsia="zh-CN"/>
        </w:rPr>
        <w:t>、本项目完工后需做好各项售后服务。</w:t>
      </w:r>
    </w:p>
    <w:p w14:paraId="76318CAE">
      <w:pPr>
        <w:snapToGrid w:val="0"/>
        <w:spacing w:line="400" w:lineRule="exact"/>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04F03CA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1.质保期：2年。</w:t>
      </w:r>
      <w:bookmarkStart w:id="189" w:name="_GoBack"/>
      <w:bookmarkEnd w:id="189"/>
    </w:p>
    <w:p w14:paraId="7517BE2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2.工期：不大于20天。</w:t>
      </w:r>
    </w:p>
    <w:p w14:paraId="65CFE40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3.报价方式：</w:t>
      </w:r>
      <w:r>
        <w:rPr>
          <w:rFonts w:hint="eastAsia" w:ascii="宋体" w:hAnsi="宋体" w:eastAsia="宋体" w:cs="宋体"/>
          <w:color w:val="FF0000"/>
          <w:sz w:val="24"/>
          <w:szCs w:val="24"/>
          <w:shd w:val="clear" w:color="auto" w:fill="auto"/>
        </w:rPr>
        <w:t>本</w:t>
      </w:r>
      <w:r>
        <w:rPr>
          <w:rFonts w:hint="eastAsia" w:ascii="宋体" w:hAnsi="宋体" w:eastAsia="宋体" w:cs="宋体"/>
          <w:color w:val="FF0000"/>
          <w:sz w:val="24"/>
          <w:szCs w:val="24"/>
          <w:shd w:val="clear" w:color="auto" w:fill="auto"/>
          <w:lang w:eastAsia="zh-CN"/>
        </w:rPr>
        <w:t>项目</w:t>
      </w:r>
      <w:r>
        <w:rPr>
          <w:rFonts w:hint="eastAsia" w:ascii="宋体" w:hAnsi="宋体" w:eastAsia="宋体" w:cs="宋体"/>
          <w:color w:val="FF0000"/>
          <w:sz w:val="24"/>
          <w:szCs w:val="24"/>
          <w:shd w:val="clear" w:color="auto" w:fill="auto"/>
        </w:rPr>
        <w:t>为总价包干（包含但不限于人工费、材料费、机械费、保险费、税费等各项费用）。</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根据2018年《重庆市房屋建筑与装饰工程计价定额》《重庆市通用安装工程计价定额》《重庆市房屋修缮工程计价定额》及相关配套文件自主报价。</w:t>
      </w:r>
      <w:r>
        <w:rPr>
          <w:rFonts w:hint="eastAsia" w:ascii="宋体" w:hAnsi="宋体" w:eastAsia="宋体" w:cs="宋体"/>
          <w:color w:val="FF0000"/>
          <w:sz w:val="24"/>
          <w:szCs w:val="24"/>
          <w:shd w:val="clear" w:color="auto" w:fill="auto"/>
          <w:lang w:val="en-US" w:eastAsia="zh-CN"/>
        </w:rPr>
        <w:t>参选供应商应充分考虑完成本项目的各种因素且必须满足采购人的使用要求。</w:t>
      </w:r>
    </w:p>
    <w:p w14:paraId="740E650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合同签订后5个工作日内，服务方向采购方转账支付合同金额的8%作为履约保证金。验收合格后服务方提供完整的验收资料两套和合法发票，经采购方审核无误后60日内转账支付合同价款100%，履约保证金在质保期满后无息支付。</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31719"/>
      <w:bookmarkStart w:id="122" w:name="_Toc54718210"/>
      <w:bookmarkStart w:id="123" w:name="_Toc26580"/>
      <w:bookmarkStart w:id="124"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sz w:val="32"/>
          <w:szCs w:val="32"/>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sz w:val="32"/>
          <w:szCs w:val="32"/>
        </w:rPr>
        <w:t>报 价 表</w:t>
      </w:r>
    </w:p>
    <w:tbl>
      <w:tblPr>
        <w:tblStyle w:val="58"/>
        <w:tblW w:w="890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9"/>
        <w:gridCol w:w="2693"/>
        <w:gridCol w:w="2410"/>
      </w:tblGrid>
      <w:tr w14:paraId="1312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799" w:type="dxa"/>
            <w:vAlign w:val="center"/>
          </w:tcPr>
          <w:p w14:paraId="3313C124">
            <w:pPr>
              <w:spacing w:line="360" w:lineRule="auto"/>
              <w:jc w:val="center"/>
              <w:rPr>
                <w:rFonts w:ascii="宋体" w:hAnsi="宋体"/>
                <w:sz w:val="24"/>
              </w:rPr>
            </w:pPr>
            <w:r>
              <w:rPr>
                <w:rFonts w:hint="eastAsia" w:ascii="宋体" w:hAnsi="宋体"/>
                <w:sz w:val="24"/>
              </w:rPr>
              <w:t>项目名称</w:t>
            </w:r>
          </w:p>
        </w:tc>
        <w:tc>
          <w:tcPr>
            <w:tcW w:w="2693" w:type="dxa"/>
            <w:vAlign w:val="center"/>
          </w:tcPr>
          <w:p w14:paraId="4ACC300D">
            <w:pPr>
              <w:spacing w:line="360" w:lineRule="auto"/>
              <w:jc w:val="center"/>
              <w:rPr>
                <w:rFonts w:ascii="宋体" w:hAnsi="宋体"/>
                <w:sz w:val="24"/>
              </w:rPr>
            </w:pPr>
            <w:r>
              <w:rPr>
                <w:rFonts w:hint="eastAsia" w:ascii="宋体" w:hAnsi="宋体"/>
                <w:sz w:val="24"/>
              </w:rPr>
              <w:t>费用（元）</w:t>
            </w:r>
          </w:p>
        </w:tc>
        <w:tc>
          <w:tcPr>
            <w:tcW w:w="2410" w:type="dxa"/>
            <w:vAlign w:val="center"/>
          </w:tcPr>
          <w:p w14:paraId="1D591ABC">
            <w:pPr>
              <w:spacing w:line="360" w:lineRule="auto"/>
              <w:jc w:val="center"/>
              <w:rPr>
                <w:rFonts w:ascii="宋体" w:hAnsi="宋体"/>
                <w:sz w:val="24"/>
              </w:rPr>
            </w:pPr>
            <w:r>
              <w:rPr>
                <w:rFonts w:hint="eastAsia" w:ascii="宋体" w:hAnsi="宋体"/>
                <w:sz w:val="24"/>
              </w:rPr>
              <w:t>备注</w:t>
            </w:r>
          </w:p>
        </w:tc>
      </w:tr>
      <w:tr w14:paraId="41B8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799" w:type="dxa"/>
            <w:vAlign w:val="center"/>
          </w:tcPr>
          <w:p w14:paraId="2E1F53EA">
            <w:pPr>
              <w:spacing w:line="360" w:lineRule="auto"/>
              <w:jc w:val="center"/>
              <w:rPr>
                <w:rFonts w:hint="default" w:ascii="宋体" w:hAnsi="宋体"/>
                <w:sz w:val="24"/>
                <w:lang w:val="en-US"/>
              </w:rPr>
            </w:pPr>
            <w:r>
              <w:rPr>
                <w:rFonts w:hint="eastAsia" w:ascii="宋体" w:hAnsi="宋体"/>
                <w:sz w:val="24"/>
                <w:lang w:val="en-US" w:eastAsia="zh-CN"/>
              </w:rPr>
              <w:t>大安院区新增铝合金纱窗</w:t>
            </w:r>
          </w:p>
        </w:tc>
        <w:tc>
          <w:tcPr>
            <w:tcW w:w="2693" w:type="dxa"/>
            <w:vAlign w:val="center"/>
          </w:tcPr>
          <w:p w14:paraId="0BB6FFC4">
            <w:pPr>
              <w:spacing w:line="360" w:lineRule="auto"/>
              <w:jc w:val="center"/>
              <w:rPr>
                <w:rFonts w:ascii="宋体" w:hAnsi="宋体"/>
                <w:sz w:val="24"/>
              </w:rPr>
            </w:pPr>
          </w:p>
        </w:tc>
        <w:tc>
          <w:tcPr>
            <w:tcW w:w="2410" w:type="dxa"/>
            <w:vAlign w:val="center"/>
          </w:tcPr>
          <w:p w14:paraId="52CE7A5A">
            <w:pPr>
              <w:spacing w:line="360" w:lineRule="auto"/>
              <w:jc w:val="center"/>
              <w:rPr>
                <w:rFonts w:ascii="宋体" w:hAnsi="宋体"/>
                <w:sz w:val="24"/>
              </w:rPr>
            </w:pPr>
          </w:p>
        </w:tc>
      </w:tr>
      <w:tr w14:paraId="2269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799" w:type="dxa"/>
            <w:vAlign w:val="center"/>
          </w:tcPr>
          <w:p w14:paraId="579FDA6A">
            <w:pPr>
              <w:spacing w:line="360" w:lineRule="auto"/>
              <w:jc w:val="center"/>
              <w:rPr>
                <w:rFonts w:ascii="宋体" w:hAnsi="宋体"/>
                <w:sz w:val="24"/>
              </w:rPr>
            </w:pPr>
            <w:r>
              <w:rPr>
                <w:rFonts w:hint="eastAsia" w:ascii="宋体" w:hAnsi="宋体"/>
                <w:sz w:val="24"/>
              </w:rPr>
              <w:t>工   期</w:t>
            </w:r>
          </w:p>
        </w:tc>
        <w:tc>
          <w:tcPr>
            <w:tcW w:w="5103" w:type="dxa"/>
            <w:gridSpan w:val="2"/>
            <w:vAlign w:val="center"/>
          </w:tcPr>
          <w:p w14:paraId="39539F12">
            <w:pPr>
              <w:spacing w:line="360" w:lineRule="auto"/>
              <w:jc w:val="center"/>
              <w:rPr>
                <w:rFonts w:ascii="宋体" w:hAnsi="宋体"/>
                <w:sz w:val="24"/>
              </w:rPr>
            </w:pPr>
          </w:p>
        </w:tc>
      </w:tr>
      <w:tr w14:paraId="1936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799" w:type="dxa"/>
            <w:vAlign w:val="center"/>
          </w:tcPr>
          <w:p w14:paraId="1AB554C5">
            <w:pPr>
              <w:spacing w:line="360" w:lineRule="auto"/>
              <w:jc w:val="center"/>
              <w:rPr>
                <w:rFonts w:ascii="宋体" w:hAnsi="宋体"/>
                <w:sz w:val="24"/>
              </w:rPr>
            </w:pPr>
            <w:r>
              <w:rPr>
                <w:rFonts w:hint="eastAsia" w:ascii="宋体" w:hAnsi="宋体"/>
                <w:sz w:val="24"/>
              </w:rPr>
              <w:t>质保期</w:t>
            </w:r>
          </w:p>
        </w:tc>
        <w:tc>
          <w:tcPr>
            <w:tcW w:w="5103" w:type="dxa"/>
            <w:gridSpan w:val="2"/>
            <w:vAlign w:val="center"/>
          </w:tcPr>
          <w:p w14:paraId="3582FF4A">
            <w:pPr>
              <w:spacing w:line="360" w:lineRule="auto"/>
              <w:jc w:val="center"/>
              <w:rPr>
                <w:rFonts w:ascii="宋体" w:hAnsi="宋体"/>
                <w:sz w:val="24"/>
              </w:rPr>
            </w:pPr>
          </w:p>
        </w:tc>
      </w:tr>
    </w:tbl>
    <w:p w14:paraId="46420D74">
      <w:pPr>
        <w:spacing w:line="360" w:lineRule="auto"/>
        <w:rPr>
          <w:rFonts w:hint="eastAsia" w:ascii="仿宋" w:hAnsi="仿宋" w:eastAsia="仿宋"/>
          <w:b/>
          <w:bCs/>
          <w:sz w:val="32"/>
          <w:szCs w:val="32"/>
        </w:rPr>
      </w:pPr>
      <w:r>
        <w:rPr>
          <w:rFonts w:hint="eastAsia" w:ascii="宋体" w:hAnsi="宋体"/>
          <w:sz w:val="28"/>
          <w:szCs w:val="28"/>
        </w:rPr>
        <w:t>备注：投标报价为包干价，包含但不限于材料费、人工费、运输费、搬运费、施工费、保险费、税费等各项费用。</w:t>
      </w:r>
    </w:p>
    <w:p w14:paraId="06777803">
      <w:pPr>
        <w:pStyle w:val="22"/>
        <w:ind w:firstLine="11480" w:firstLineChars="4100"/>
        <w:rPr>
          <w:rFonts w:hint="eastAsia" w:ascii="宋体" w:hAnsi="宋体" w:eastAsia="宋体" w:cs="宋体"/>
          <w:color w:val="FF0000"/>
          <w:sz w:val="28"/>
          <w:szCs w:val="28"/>
          <w:shd w:val="clear" w:color="auto" w:fill="auto"/>
          <w:lang w:val="en-US" w:eastAsia="zh-CN"/>
        </w:rPr>
      </w:pPr>
    </w:p>
    <w:p w14:paraId="26BD9500">
      <w:pPr>
        <w:pStyle w:val="22"/>
        <w:ind w:firstLine="11480" w:firstLineChars="4100"/>
        <w:rPr>
          <w:rFonts w:hint="eastAsia" w:ascii="宋体" w:hAnsi="宋体" w:eastAsia="宋体" w:cs="宋体"/>
          <w:color w:val="FF0000"/>
          <w:sz w:val="28"/>
          <w:szCs w:val="28"/>
          <w:shd w:val="clear" w:color="auto" w:fill="auto"/>
          <w:lang w:val="en-US" w:eastAsia="zh-CN"/>
        </w:rPr>
      </w:pPr>
    </w:p>
    <w:p w14:paraId="77211045">
      <w:pPr>
        <w:pStyle w:val="22"/>
        <w:ind w:left="6983" w:leftChars="3325" w:firstLine="4480" w:firstLineChars="16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 xml:space="preserve"> 参选供应商公章</w:t>
      </w:r>
    </w:p>
    <w:p w14:paraId="45DEB1F0">
      <w:pPr>
        <w:pStyle w:val="22"/>
        <w:ind w:left="7262" w:leftChars="3458" w:firstLine="3920" w:firstLineChars="14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年年   月  日</w:t>
      </w:r>
    </w:p>
    <w:p w14:paraId="3682F243">
      <w:pPr>
        <w:rPr>
          <w:rFonts w:hint="eastAsia" w:ascii="宋体" w:hAnsi="宋体" w:eastAsia="宋体" w:cs="宋体"/>
          <w:color w:val="FF0000"/>
          <w:sz w:val="28"/>
          <w:szCs w:val="28"/>
          <w:shd w:val="clear" w:color="auto" w:fill="auto"/>
          <w:lang w:val="en-US" w:eastAsia="zh-CN"/>
        </w:rPr>
      </w:pPr>
    </w:p>
    <w:p w14:paraId="16D4EBD3">
      <w:pPr>
        <w:rPr>
          <w:rFonts w:hint="eastAsia" w:ascii="宋体" w:hAnsi="宋体" w:eastAsia="宋体" w:cs="宋体"/>
          <w:color w:val="FF0000"/>
          <w:sz w:val="28"/>
          <w:szCs w:val="28"/>
          <w:shd w:val="clear" w:color="auto" w:fill="auto"/>
          <w:lang w:val="en-US" w:eastAsia="zh-CN"/>
        </w:rPr>
      </w:pPr>
    </w:p>
    <w:p w14:paraId="572FFD56">
      <w:pPr>
        <w:rPr>
          <w:rFonts w:hint="eastAsia" w:ascii="宋体" w:hAnsi="宋体" w:eastAsia="宋体" w:cs="宋体"/>
          <w:color w:val="FF0000"/>
          <w:sz w:val="28"/>
          <w:szCs w:val="28"/>
          <w:shd w:val="clear" w:color="auto" w:fill="auto"/>
          <w:lang w:val="en-US" w:eastAsia="zh-CN"/>
        </w:rPr>
      </w:pPr>
    </w:p>
    <w:p w14:paraId="6CA2ECB9">
      <w:pPr>
        <w:tabs>
          <w:tab w:val="left" w:pos="1134"/>
        </w:tabs>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主材明细表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1830"/>
        <w:gridCol w:w="3090"/>
        <w:gridCol w:w="2457"/>
      </w:tblGrid>
      <w:tr w14:paraId="1C20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079" w:type="dxa"/>
            <w:vAlign w:val="center"/>
          </w:tcPr>
          <w:p w14:paraId="6EB72D40">
            <w:pPr>
              <w:spacing w:line="360" w:lineRule="auto"/>
              <w:jc w:val="center"/>
              <w:rPr>
                <w:rFonts w:hint="default" w:ascii="宋体" w:hAnsi="宋体"/>
                <w:sz w:val="24"/>
                <w:lang w:val="en-US" w:eastAsia="zh-CN"/>
              </w:rPr>
            </w:pPr>
            <w:r>
              <w:rPr>
                <w:rFonts w:hint="eastAsia" w:ascii="宋体" w:hAnsi="宋体"/>
                <w:sz w:val="24"/>
                <w:lang w:val="en-US" w:eastAsia="zh-CN"/>
              </w:rPr>
              <w:t>主材名称</w:t>
            </w:r>
          </w:p>
        </w:tc>
        <w:tc>
          <w:tcPr>
            <w:tcW w:w="1830" w:type="dxa"/>
            <w:vAlign w:val="center"/>
          </w:tcPr>
          <w:p w14:paraId="22EC543D">
            <w:pPr>
              <w:spacing w:line="360" w:lineRule="auto"/>
              <w:jc w:val="center"/>
              <w:rPr>
                <w:rFonts w:hint="default" w:ascii="宋体" w:hAnsi="宋体"/>
                <w:sz w:val="24"/>
                <w:lang w:val="en-US" w:eastAsia="zh-CN"/>
              </w:rPr>
            </w:pPr>
            <w:r>
              <w:rPr>
                <w:rFonts w:hint="eastAsia" w:ascii="宋体" w:hAnsi="宋体"/>
                <w:sz w:val="24"/>
                <w:lang w:val="en-US" w:eastAsia="zh-CN"/>
              </w:rPr>
              <w:t>单价</w:t>
            </w:r>
          </w:p>
        </w:tc>
        <w:tc>
          <w:tcPr>
            <w:tcW w:w="3090" w:type="dxa"/>
            <w:vAlign w:val="center"/>
          </w:tcPr>
          <w:p w14:paraId="4D5C64EB">
            <w:pPr>
              <w:spacing w:line="360" w:lineRule="auto"/>
              <w:jc w:val="center"/>
              <w:rPr>
                <w:rFonts w:hint="default" w:ascii="宋体" w:hAnsi="宋体"/>
                <w:sz w:val="24"/>
                <w:lang w:val="en-US" w:eastAsia="zh-CN"/>
              </w:rPr>
            </w:pPr>
            <w:r>
              <w:rPr>
                <w:rFonts w:hint="eastAsia" w:ascii="宋体" w:hAnsi="宋体"/>
                <w:sz w:val="24"/>
                <w:lang w:val="en-US" w:eastAsia="zh-CN"/>
              </w:rPr>
              <w:t>品牌/生产厂家</w:t>
            </w:r>
          </w:p>
        </w:tc>
        <w:tc>
          <w:tcPr>
            <w:tcW w:w="2457" w:type="dxa"/>
            <w:vAlign w:val="center"/>
          </w:tcPr>
          <w:p w14:paraId="6C3334C7">
            <w:pPr>
              <w:spacing w:line="360" w:lineRule="auto"/>
              <w:jc w:val="center"/>
              <w:rPr>
                <w:rFonts w:hint="default" w:ascii="宋体" w:hAnsi="宋体"/>
                <w:sz w:val="24"/>
                <w:lang w:val="en-US" w:eastAsia="zh-CN"/>
              </w:rPr>
            </w:pPr>
            <w:r>
              <w:rPr>
                <w:rFonts w:hint="eastAsia" w:ascii="宋体" w:hAnsi="宋体"/>
                <w:sz w:val="24"/>
                <w:lang w:val="en-US" w:eastAsia="zh-CN"/>
              </w:rPr>
              <w:t>规格型号</w:t>
            </w:r>
          </w:p>
        </w:tc>
      </w:tr>
      <w:tr w14:paraId="3521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9" w:type="dxa"/>
            <w:vAlign w:val="center"/>
          </w:tcPr>
          <w:p w14:paraId="0AEBB4F9">
            <w:pPr>
              <w:spacing w:line="360" w:lineRule="auto"/>
              <w:jc w:val="center"/>
              <w:rPr>
                <w:rFonts w:hint="default" w:ascii="黑体" w:hAnsi="黑体" w:eastAsia="黑体"/>
                <w:sz w:val="32"/>
                <w:szCs w:val="32"/>
                <w:vertAlign w:val="baseline"/>
                <w:lang w:val="en-US" w:eastAsia="zh-CN"/>
              </w:rPr>
            </w:pPr>
            <w:r>
              <w:rPr>
                <w:rFonts w:hint="eastAsia" w:ascii="宋体" w:hAnsi="宋体"/>
                <w:sz w:val="24"/>
                <w:lang w:val="en-US" w:eastAsia="zh-CN"/>
              </w:rPr>
              <w:t>铝合金纱窗</w:t>
            </w:r>
          </w:p>
        </w:tc>
        <w:tc>
          <w:tcPr>
            <w:tcW w:w="1830" w:type="dxa"/>
            <w:vAlign w:val="center"/>
          </w:tcPr>
          <w:p w14:paraId="42168427">
            <w:pPr>
              <w:tabs>
                <w:tab w:val="left" w:pos="1134"/>
              </w:tabs>
              <w:jc w:val="center"/>
              <w:rPr>
                <w:rFonts w:hint="default" w:ascii="黑体" w:hAnsi="黑体" w:eastAsia="黑体"/>
                <w:sz w:val="32"/>
                <w:szCs w:val="32"/>
                <w:vertAlign w:val="baseline"/>
                <w:lang w:val="en-US" w:eastAsia="zh-CN"/>
              </w:rPr>
            </w:pPr>
          </w:p>
        </w:tc>
        <w:tc>
          <w:tcPr>
            <w:tcW w:w="3090" w:type="dxa"/>
            <w:vAlign w:val="center"/>
          </w:tcPr>
          <w:p w14:paraId="576B2135">
            <w:pPr>
              <w:tabs>
                <w:tab w:val="left" w:pos="1134"/>
              </w:tabs>
              <w:jc w:val="center"/>
              <w:rPr>
                <w:rFonts w:hint="default" w:ascii="黑体" w:hAnsi="黑体" w:eastAsia="黑体"/>
                <w:sz w:val="32"/>
                <w:szCs w:val="32"/>
                <w:vertAlign w:val="baseline"/>
                <w:lang w:val="en-US" w:eastAsia="zh-CN"/>
              </w:rPr>
            </w:pPr>
          </w:p>
        </w:tc>
        <w:tc>
          <w:tcPr>
            <w:tcW w:w="2457" w:type="dxa"/>
            <w:vAlign w:val="center"/>
          </w:tcPr>
          <w:p w14:paraId="1AB50CBF">
            <w:pPr>
              <w:tabs>
                <w:tab w:val="left" w:pos="1134"/>
              </w:tabs>
              <w:jc w:val="center"/>
              <w:rPr>
                <w:rFonts w:hint="default" w:ascii="黑体" w:hAnsi="黑体" w:eastAsia="黑体"/>
                <w:sz w:val="32"/>
                <w:szCs w:val="32"/>
                <w:vertAlign w:val="baseline"/>
                <w:lang w:val="en-US" w:eastAsia="zh-CN"/>
              </w:rPr>
            </w:pPr>
          </w:p>
        </w:tc>
      </w:tr>
    </w:tbl>
    <w:p w14:paraId="4B7BA7AD">
      <w:pPr>
        <w:pStyle w:val="22"/>
        <w:rPr>
          <w:rFonts w:hint="eastAsia" w:ascii="宋体" w:hAnsi="宋体" w:eastAsia="宋体" w:cs="宋体"/>
          <w:color w:val="FF0000"/>
          <w:sz w:val="28"/>
          <w:szCs w:val="28"/>
          <w:shd w:val="clear" w:color="auto" w:fill="auto"/>
          <w:lang w:val="en-US" w:eastAsia="zh-CN"/>
        </w:rPr>
      </w:pPr>
    </w:p>
    <w:p w14:paraId="77B1727D">
      <w:pPr>
        <w:pStyle w:val="22"/>
        <w:rPr>
          <w:rFonts w:hint="eastAsia" w:ascii="宋体" w:hAnsi="宋体" w:eastAsia="宋体" w:cs="宋体"/>
          <w:color w:val="FF0000"/>
          <w:sz w:val="28"/>
          <w:szCs w:val="28"/>
          <w:shd w:val="clear" w:color="auto" w:fill="auto"/>
          <w:lang w:val="en-US" w:eastAsia="zh-CN"/>
        </w:rPr>
      </w:pPr>
    </w:p>
    <w:p w14:paraId="43AF7379">
      <w:pPr>
        <w:pStyle w:val="22"/>
        <w:rPr>
          <w:rFonts w:hint="eastAsia" w:ascii="宋体" w:hAnsi="宋体" w:eastAsia="宋体" w:cs="宋体"/>
          <w:color w:val="FF0000"/>
          <w:sz w:val="28"/>
          <w:szCs w:val="28"/>
          <w:shd w:val="clear" w:color="auto" w:fill="auto"/>
          <w:lang w:val="en-US" w:eastAsia="zh-CN"/>
        </w:rPr>
      </w:pPr>
    </w:p>
    <w:p w14:paraId="249DDC23">
      <w:pPr>
        <w:pStyle w:val="22"/>
        <w:rPr>
          <w:rFonts w:hint="eastAsia" w:ascii="宋体" w:hAnsi="宋体" w:eastAsia="宋体" w:cs="宋体"/>
          <w:color w:val="FF0000"/>
          <w:sz w:val="28"/>
          <w:szCs w:val="28"/>
          <w:shd w:val="clear" w:color="auto" w:fill="auto"/>
          <w:lang w:val="en-US" w:eastAsia="zh-CN"/>
        </w:rPr>
      </w:pPr>
    </w:p>
    <w:p w14:paraId="03B56891">
      <w:pPr>
        <w:pStyle w:val="22"/>
        <w:ind w:firstLine="7000" w:firstLineChars="25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参选供应商公章</w:t>
      </w:r>
    </w:p>
    <w:p w14:paraId="0BFD9E48">
      <w:pPr>
        <w:pStyle w:val="22"/>
        <w:ind w:left="7262" w:leftChars="3458" w:firstLine="3920" w:firstLineChars="14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年年   月  日</w:t>
      </w:r>
    </w:p>
    <w:p w14:paraId="584AC0A7">
      <w:pPr>
        <w:rPr>
          <w:rFonts w:hint="eastAsia" w:ascii="宋体" w:hAnsi="宋体" w:eastAsia="宋体" w:cs="宋体"/>
          <w:color w:val="FF0000"/>
          <w:sz w:val="28"/>
          <w:szCs w:val="28"/>
          <w:shd w:val="clear" w:color="auto" w:fill="auto"/>
          <w:lang w:val="en-US" w:eastAsia="zh-CN"/>
        </w:rPr>
        <w:sectPr>
          <w:headerReference r:id="rId9" w:type="default"/>
          <w:pgSz w:w="11907" w:h="16840"/>
          <w:pgMar w:top="1134" w:right="1191" w:bottom="1134" w:left="1304" w:header="851" w:footer="992" w:gutter="0"/>
          <w:pgNumType w:fmt="decimal"/>
          <w:cols w:space="720" w:num="1"/>
          <w:docGrid w:linePitch="380" w:charSpace="-5735"/>
        </w:sect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1"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szCs w:val="24"/>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3FD9CE-EDE5-4D42-8768-C3A943CC7A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32010C5E-B998-46C2-A6E0-2534CA3FD051}"/>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8E4D1D60-BBF1-4C70-914C-7E2DBCD7C6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01BF">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964089"/>
    <w:rsid w:val="70E64A50"/>
    <w:rsid w:val="71231A63"/>
    <w:rsid w:val="714B6E37"/>
    <w:rsid w:val="71C72BEE"/>
    <w:rsid w:val="72AA2579"/>
    <w:rsid w:val="73164466"/>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11306</Words>
  <Characters>11548</Characters>
  <Lines>182</Lines>
  <Paragraphs>51</Paragraphs>
  <TotalTime>2</TotalTime>
  <ScaleCrop>false</ScaleCrop>
  <LinksUpToDate>false</LinksUpToDate>
  <CharactersWithSpaces>11749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2026-07-06T09:33:31Z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