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专利代理服务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kern w:val="2"/>
          <w:sz w:val="44"/>
          <w:szCs w:val="44"/>
          <w:lang w:val="en-US" w:eastAsia="zh-CN" w:bidi="ar-SA"/>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sz w:val="44"/>
              <w:szCs w:val="44"/>
            </w:rPr>
          </w:pPr>
          <w:r>
            <w:rPr>
              <w:rFonts w:ascii="宋体" w:hAnsi="宋体" w:eastAsia="宋体"/>
              <w:sz w:val="44"/>
              <w:szCs w:val="44"/>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_Toc23588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第一篇  比选邀请书</w:t>
          </w:r>
          <w:r>
            <w:tab/>
          </w:r>
          <w:r>
            <w:fldChar w:fldCharType="begin"/>
          </w:r>
          <w:r>
            <w:instrText xml:space="preserve"> PAGEREF _Toc23588 \h </w:instrText>
          </w:r>
          <w:r>
            <w:fldChar w:fldCharType="separate"/>
          </w:r>
          <w:r>
            <w:t>2</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_Toc25322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第二篇 供应商须知</w:t>
          </w:r>
          <w:r>
            <w:tab/>
          </w:r>
          <w:r>
            <w:fldChar w:fldCharType="begin"/>
          </w:r>
          <w:r>
            <w:instrText xml:space="preserve"> PAGEREF _Toc25322 \h </w:instrText>
          </w:r>
          <w:r>
            <w:fldChar w:fldCharType="separate"/>
          </w:r>
          <w:r>
            <w:t>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_Toc7206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第三篇  项目服务需求</w:t>
          </w:r>
          <w:r>
            <w:tab/>
          </w:r>
          <w:r>
            <w:fldChar w:fldCharType="begin"/>
          </w:r>
          <w:r>
            <w:instrText xml:space="preserve"> PAGEREF _Toc7206 \h </w:instrText>
          </w:r>
          <w:r>
            <w:fldChar w:fldCharType="separate"/>
          </w:r>
          <w:r>
            <w:t>13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_Toc17014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第四篇  项目商务需求</w:t>
          </w:r>
          <w:r>
            <w:tab/>
          </w:r>
          <w:r>
            <w:fldChar w:fldCharType="begin"/>
          </w:r>
          <w:r>
            <w:instrText xml:space="preserve"> PAGEREF _Toc17014 \h </w:instrText>
          </w:r>
          <w:r>
            <w:fldChar w:fldCharType="separate"/>
          </w:r>
          <w:r>
            <w:t>14</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_Toc26989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第五篇  合同草案条款</w:t>
          </w:r>
          <w:r>
            <w:tab/>
          </w:r>
          <w:r>
            <w:fldChar w:fldCharType="begin"/>
          </w:r>
          <w:r>
            <w:instrText xml:space="preserve"> PAGEREF _Toc26989 \h </w:instrText>
          </w:r>
          <w:r>
            <w:fldChar w:fldCharType="separate"/>
          </w:r>
          <w:r>
            <w:t>15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_Toc14085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第六篇  响应文件格式要求</w:t>
          </w:r>
          <w:r>
            <w:tab/>
          </w:r>
          <w:r>
            <w:fldChar w:fldCharType="begin"/>
          </w:r>
          <w:r>
            <w:instrText xml:space="preserve"> PAGEREF _Toc14085 \h </w:instrText>
          </w:r>
          <w:r>
            <w:fldChar w:fldCharType="separate"/>
          </w:r>
          <w:r>
            <w:t>17</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_Toc5685 </w:instrText>
          </w:r>
          <w:r>
            <w:rPr>
              <w:rFonts w:hint="eastAsia" w:ascii="宋体" w:hAnsi="宋体" w:eastAsia="宋体" w:cs="宋体"/>
              <w:szCs w:val="28"/>
              <w:shd w:val="clear" w:color="auto" w:fill="auto"/>
            </w:rPr>
            <w:fldChar w:fldCharType="separate"/>
          </w:r>
          <w:r>
            <w:rPr>
              <w:rFonts w:hint="eastAsia" w:ascii="宋体" w:hAnsi="宋体" w:cs="宋体"/>
              <w:szCs w:val="24"/>
              <w:shd w:val="clear" w:color="auto" w:fill="auto"/>
              <w:lang w:eastAsia="zh-CN"/>
            </w:rPr>
            <w:t>（一）</w:t>
          </w:r>
          <w:r>
            <w:rPr>
              <w:rFonts w:hint="eastAsia" w:ascii="宋体" w:hAnsi="宋体" w:eastAsia="宋体" w:cs="宋体"/>
              <w:szCs w:val="24"/>
              <w:shd w:val="clear" w:color="auto" w:fill="auto"/>
            </w:rPr>
            <w:t>其他应提供的资料</w:t>
          </w:r>
          <w:r>
            <w:tab/>
          </w:r>
          <w:r>
            <w:fldChar w:fldCharType="begin"/>
          </w:r>
          <w:r>
            <w:instrText xml:space="preserve"> PAGEREF _Toc5685 \h </w:instrText>
          </w:r>
          <w:r>
            <w:fldChar w:fldCharType="separate"/>
          </w:r>
          <w:r>
            <w:t>18</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_Toc12908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（二）</w:t>
          </w:r>
          <w:r>
            <w:rPr>
              <w:rFonts w:hint="eastAsia" w:ascii="宋体" w:hAnsi="宋体" w:eastAsia="宋体" w:cs="宋体"/>
              <w:shd w:val="clear" w:color="auto" w:fill="auto"/>
            </w:rPr>
            <w:t>服务部分</w:t>
          </w:r>
          <w:r>
            <w:tab/>
          </w:r>
          <w:r>
            <w:fldChar w:fldCharType="begin"/>
          </w:r>
          <w:r>
            <w:instrText xml:space="preserve"> PAGEREF _Toc12908 \h </w:instrText>
          </w:r>
          <w:r>
            <w:fldChar w:fldCharType="separate"/>
          </w:r>
          <w:r>
            <w:t>21</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_Toc15203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（三）</w:t>
          </w:r>
          <w:r>
            <w:rPr>
              <w:rFonts w:hint="eastAsia" w:ascii="宋体" w:hAnsi="宋体" w:eastAsia="宋体" w:cs="宋体"/>
              <w:shd w:val="clear" w:color="auto" w:fill="auto"/>
            </w:rPr>
            <w:t>商务部分</w:t>
          </w:r>
          <w:r>
            <w:tab/>
          </w:r>
          <w:r>
            <w:fldChar w:fldCharType="begin"/>
          </w:r>
          <w:r>
            <w:instrText xml:space="preserve"> PAGEREF _Toc15203 \h </w:instrText>
          </w:r>
          <w:r>
            <w:fldChar w:fldCharType="separate"/>
          </w:r>
          <w:r>
            <w:t>23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_Toc9941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（四）</w:t>
          </w:r>
          <w:r>
            <w:rPr>
              <w:rFonts w:hint="eastAsia" w:ascii="宋体" w:hAnsi="宋体" w:eastAsia="宋体" w:cs="宋体"/>
              <w:shd w:val="clear" w:color="auto" w:fill="auto"/>
            </w:rPr>
            <w:t>资格条件及其他</w:t>
          </w:r>
          <w:r>
            <w:tab/>
          </w:r>
          <w:r>
            <w:fldChar w:fldCharType="begin"/>
          </w:r>
          <w:r>
            <w:instrText xml:space="preserve"> PAGEREF _Toc9941 \h </w:instrText>
          </w:r>
          <w:r>
            <w:fldChar w:fldCharType="separate"/>
          </w:r>
          <w:r>
            <w:t>26</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5875"/>
      <w:bookmarkStart w:id="1" w:name="_Toc485108766"/>
      <w:bookmarkStart w:id="2" w:name="_Toc23588"/>
      <w:bookmarkStart w:id="3" w:name="_Toc12789052"/>
      <w:bookmarkStart w:id="4" w:name="_Toc6921"/>
      <w:bookmarkStart w:id="5" w:name="_Toc11641050"/>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3893526"/>
      <w:bookmarkStart w:id="9" w:name="_Toc317775175"/>
      <w:bookmarkStart w:id="10" w:name="_Toc485108767"/>
      <w:bookmarkStart w:id="11" w:name="_Toc28443"/>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：自筹资金,项目预算：据实结算</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1.提供合法有效的</w:t>
      </w:r>
      <w:r>
        <w:rPr>
          <w:rFonts w:hint="default" w:ascii="宋体" w:hAnsi="宋体" w:eastAsia="宋体" w:cs="宋体"/>
          <w:color w:val="FF0000"/>
          <w:sz w:val="24"/>
          <w:szCs w:val="24"/>
          <w:shd w:val="clear" w:color="auto" w:fill="auto"/>
          <w:lang w:eastAsia="zh-CN"/>
        </w:rPr>
        <w:t>《专利代理机构执业许可证》</w:t>
      </w:r>
      <w:r>
        <w:rPr>
          <w:rFonts w:hint="eastAsia" w:ascii="宋体" w:hAnsi="宋体" w:eastAsia="宋体" w:cs="宋体"/>
          <w:color w:val="FF0000"/>
          <w:sz w:val="24"/>
          <w:szCs w:val="24"/>
          <w:shd w:val="clear" w:color="auto" w:fill="auto"/>
          <w:lang w:val="en-US" w:eastAsia="zh-CN"/>
        </w:rPr>
        <w:t>,提供复印件并加盖公章。</w:t>
      </w:r>
    </w:p>
    <w:p w14:paraId="3E9CB608">
      <w:pPr>
        <w:spacing w:line="48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2.参选供应商</w:t>
      </w:r>
      <w:r>
        <w:rPr>
          <w:rFonts w:hint="default" w:ascii="宋体" w:hAnsi="宋体" w:eastAsia="宋体" w:cs="宋体"/>
          <w:color w:val="FF0000"/>
          <w:sz w:val="24"/>
          <w:szCs w:val="24"/>
          <w:shd w:val="clear" w:color="auto" w:fill="auto"/>
          <w:lang w:val="en-US" w:eastAsia="zh-CN"/>
        </w:rPr>
        <w:t>应具有生物或医学相关专职持证专利代理人3名以上，所有人员需提供专利代理人资格证、执业证、近半年社保缴纳证明，不得是兼职、挂靠人员。</w:t>
      </w:r>
      <w:r>
        <w:rPr>
          <w:rFonts w:hint="eastAsia" w:ascii="宋体" w:hAnsi="宋体" w:eastAsia="宋体" w:cs="宋体"/>
          <w:color w:val="FF0000"/>
          <w:sz w:val="24"/>
          <w:szCs w:val="24"/>
          <w:shd w:val="clear" w:color="auto" w:fill="auto"/>
          <w:lang w:val="en-US" w:eastAsia="zh-CN"/>
        </w:rPr>
        <w:t>（提供相应的证明材料并加盖公章）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w:t>
      </w:r>
      <w:bookmarkStart w:id="189" w:name="_GoBack"/>
      <w:bookmarkEnd w:id="189"/>
      <w:r>
        <w:rPr>
          <w:rFonts w:hint="eastAsia" w:ascii="宋体" w:hAnsi="宋体" w:eastAsia="宋体" w:cs="宋体"/>
          <w:b/>
          <w:bCs/>
          <w:color w:val="000000" w:themeColor="text1"/>
          <w:sz w:val="24"/>
          <w:szCs w:val="24"/>
          <w:shd w:val="clear" w:color="auto" w:fill="auto"/>
          <w14:textFill>
            <w14:solidFill>
              <w14:schemeClr w14:val="tx1"/>
            </w14:solidFill>
          </w14:textFill>
        </w:rPr>
        <w:t>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1.本项目为包干价，</w:t>
      </w:r>
      <w:r>
        <w:rPr>
          <w:rFonts w:hint="default" w:ascii="宋体" w:hAnsi="宋体" w:eastAsia="宋体" w:cs="宋体"/>
          <w:color w:val="FF0000"/>
          <w:sz w:val="24"/>
          <w:szCs w:val="24"/>
          <w:shd w:val="clear" w:color="auto" w:fill="auto"/>
          <w:lang w:val="en-US" w:eastAsia="zh-CN"/>
        </w:rPr>
        <w:t>包含</w:t>
      </w:r>
      <w:r>
        <w:rPr>
          <w:rFonts w:hint="eastAsia" w:ascii="宋体" w:hAnsi="宋体" w:eastAsia="宋体" w:cs="宋体"/>
          <w:color w:val="FF0000"/>
          <w:sz w:val="24"/>
          <w:szCs w:val="24"/>
          <w:shd w:val="clear" w:color="auto" w:fill="auto"/>
          <w:lang w:val="en-US" w:eastAsia="zh-CN"/>
        </w:rPr>
        <w:t>但不限于</w:t>
      </w:r>
      <w:r>
        <w:rPr>
          <w:rFonts w:hint="default" w:ascii="宋体" w:hAnsi="宋体" w:eastAsia="宋体" w:cs="宋体"/>
          <w:color w:val="FF0000"/>
          <w:sz w:val="24"/>
          <w:szCs w:val="24"/>
          <w:shd w:val="clear" w:color="auto" w:fill="auto"/>
          <w:lang w:val="en-US" w:eastAsia="zh-CN"/>
        </w:rPr>
        <w:t>服务费、税费等所有费用</w:t>
      </w:r>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8"/>
      <w:bookmarkStart w:id="38" w:name="OLE_LINK9"/>
      <w:bookmarkStart w:id="39"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02227319"/>
      <w:bookmarkStart w:id="41" w:name="_Toc18122"/>
      <w:bookmarkStart w:id="42" w:name="_Toc179714298"/>
      <w:bookmarkStart w:id="43" w:name="_Toc403569780"/>
      <w:bookmarkStart w:id="44" w:name="_Toc342913393"/>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14816"/>
      <w:bookmarkStart w:id="53"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7135"/>
      <w:bookmarkStart w:id="55" w:name="_Toc403569783"/>
      <w:bookmarkStart w:id="56" w:name="_Toc3212"/>
      <w:bookmarkStart w:id="57" w:name="_Toc102227321"/>
      <w:bookmarkStart w:id="58" w:name="_Toc34291339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3C25B24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1.服务范围：</w:t>
      </w:r>
    </w:p>
    <w:p w14:paraId="47A41F75">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①</w:t>
      </w:r>
      <w:r>
        <w:rPr>
          <w:rFonts w:hint="default" w:ascii="宋体" w:hAnsi="宋体" w:eastAsia="宋体" w:cs="宋体"/>
          <w:color w:val="000000" w:themeColor="text1"/>
          <w:sz w:val="24"/>
          <w:szCs w:val="24"/>
          <w:shd w:val="clear" w:color="auto" w:fill="auto"/>
          <w14:textFill>
            <w14:solidFill>
              <w14:schemeClr w14:val="tx1"/>
            </w14:solidFill>
          </w14:textFill>
        </w:rPr>
        <w:t>专利申请事务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包含发明专利、实用新型专利、外观设计专利全流程代理，涵盖</w:t>
      </w:r>
      <w:r>
        <w:rPr>
          <w:rFonts w:hint="default" w:ascii="宋体" w:hAnsi="宋体" w:eastAsia="宋体" w:cs="宋体"/>
          <w:color w:val="000000" w:themeColor="text1"/>
          <w:sz w:val="24"/>
          <w:szCs w:val="24"/>
          <w:shd w:val="clear" w:color="auto" w:fill="auto"/>
          <w14:textFill>
            <w14:solidFill>
              <w14:schemeClr w14:val="tx1"/>
            </w14:solidFill>
          </w14:textFill>
        </w:rPr>
        <w:t>专利文件撰写、专利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实质审查</w:t>
      </w:r>
      <w:r>
        <w:rPr>
          <w:rFonts w:hint="default" w:ascii="宋体" w:hAnsi="宋体" w:eastAsia="宋体" w:cs="宋体"/>
          <w:color w:val="000000" w:themeColor="text1"/>
          <w:sz w:val="24"/>
          <w:szCs w:val="24"/>
          <w:shd w:val="clear" w:color="auto" w:fill="auto"/>
          <w14:textFill>
            <w14:solidFill>
              <w14:schemeClr w14:val="tx1"/>
            </w14:solidFill>
          </w14:textFill>
        </w:rPr>
        <w:t>答复、</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补正答复、驳回复审、</w:t>
      </w:r>
      <w:r>
        <w:rPr>
          <w:rFonts w:hint="default" w:ascii="宋体" w:hAnsi="宋体" w:eastAsia="宋体" w:cs="宋体"/>
          <w:color w:val="000000" w:themeColor="text1"/>
          <w:sz w:val="24"/>
          <w:szCs w:val="24"/>
          <w:shd w:val="clear" w:color="auto" w:fill="auto"/>
          <w14:textFill>
            <w14:solidFill>
              <w14:schemeClr w14:val="tx1"/>
            </w14:solidFill>
          </w14:textFill>
        </w:rPr>
        <w:t>专利无效</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答辩、异议处理等全部流程业务</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6D85EC2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②</w:t>
      </w:r>
      <w:r>
        <w:rPr>
          <w:rFonts w:hint="default" w:ascii="宋体" w:hAnsi="宋体" w:eastAsia="宋体" w:cs="宋体"/>
          <w:color w:val="000000" w:themeColor="text1"/>
          <w:sz w:val="24"/>
          <w:szCs w:val="24"/>
          <w:shd w:val="clear" w:color="auto" w:fill="auto"/>
          <w14:textFill>
            <w14:solidFill>
              <w14:schemeClr w14:val="tx1"/>
            </w14:solidFill>
          </w14:textFill>
        </w:rPr>
        <w:t>专利申请费、登记费代缴。</w:t>
      </w:r>
    </w:p>
    <w:p w14:paraId="2EC780EF">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14:textFill>
            <w14:solidFill>
              <w14:schemeClr w14:val="tx1"/>
            </w14:solidFill>
          </w14:textFill>
        </w:rPr>
        <w:t>专利年费、滞纳金缴费提醒</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提前两个月向申请人发送缴费提醒</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7AAAC0B3">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④</w:t>
      </w:r>
      <w:r>
        <w:rPr>
          <w:rFonts w:hint="default" w:ascii="宋体" w:hAnsi="宋体" w:eastAsia="宋体" w:cs="宋体"/>
          <w:color w:val="000000" w:themeColor="text1"/>
          <w:sz w:val="24"/>
          <w:szCs w:val="24"/>
          <w:shd w:val="clear" w:color="auto" w:fill="auto"/>
          <w14:textFill>
            <w14:solidFill>
              <w14:schemeClr w14:val="tx1"/>
            </w14:solidFill>
          </w14:textFill>
        </w:rPr>
        <w:t>专利许可、转让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等</w:t>
      </w:r>
      <w:r>
        <w:rPr>
          <w:rFonts w:hint="default" w:ascii="宋体" w:hAnsi="宋体" w:eastAsia="宋体" w:cs="宋体"/>
          <w:color w:val="000000" w:themeColor="text1"/>
          <w:sz w:val="24"/>
          <w:szCs w:val="24"/>
          <w:shd w:val="clear" w:color="auto" w:fill="auto"/>
          <w14:textFill>
            <w14:solidFill>
              <w14:schemeClr w14:val="tx1"/>
            </w14:solidFill>
          </w14:textFill>
        </w:rPr>
        <w:t>委托代理服务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起草合规协议，完成官方流程，保障知识产权合法流转</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52F297B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14:textFill>
            <w14:solidFill>
              <w14:schemeClr w14:val="tx1"/>
            </w14:solidFill>
          </w14:textFill>
        </w:rPr>
        <w:t>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提供的专利申请技术交底书内容进行检索分析，并给出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优化修改</w:t>
      </w:r>
      <w:r>
        <w:rPr>
          <w:rFonts w:hint="default" w:ascii="宋体" w:hAnsi="宋体" w:eastAsia="宋体" w:cs="宋体"/>
          <w:color w:val="000000" w:themeColor="text1"/>
          <w:sz w:val="24"/>
          <w:szCs w:val="24"/>
          <w:shd w:val="clear" w:color="auto" w:fill="auto"/>
          <w14:textFill>
            <w14:solidFill>
              <w14:schemeClr w14:val="tx1"/>
            </w14:solidFill>
          </w14:textFill>
        </w:rPr>
        <w:t>意见。</w:t>
      </w:r>
    </w:p>
    <w:p w14:paraId="74C515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⑥</w:t>
      </w:r>
      <w:r>
        <w:rPr>
          <w:rFonts w:hint="default" w:ascii="宋体" w:hAnsi="宋体" w:eastAsia="宋体" w:cs="宋体"/>
          <w:color w:val="000000" w:themeColor="text1"/>
          <w:sz w:val="24"/>
          <w:szCs w:val="24"/>
          <w:shd w:val="clear" w:color="auto" w:fill="auto"/>
          <w14:textFill>
            <w14:solidFill>
              <w14:schemeClr w14:val="tx1"/>
            </w14:solidFill>
          </w14:textFill>
        </w:rPr>
        <w:t xml:space="preserve">知识产权法规及政策等专利相关问题解读及咨询服务。 </w:t>
      </w:r>
    </w:p>
    <w:p w14:paraId="2E4C81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⑦</w:t>
      </w:r>
      <w:r>
        <w:rPr>
          <w:rFonts w:hint="default" w:ascii="宋体" w:hAnsi="宋体" w:eastAsia="宋体" w:cs="宋体"/>
          <w:color w:val="000000" w:themeColor="text1"/>
          <w:sz w:val="24"/>
          <w:szCs w:val="24"/>
          <w:shd w:val="clear" w:color="auto" w:fill="auto"/>
          <w14:textFill>
            <w14:solidFill>
              <w14:schemeClr w14:val="tx1"/>
            </w14:solidFill>
          </w14:textFill>
        </w:rPr>
        <w:t>协助</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建立专利管理台账</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按季度同步数据</w:t>
      </w:r>
      <w:r>
        <w:rPr>
          <w:rFonts w:hint="default" w:ascii="宋体" w:hAnsi="宋体" w:eastAsia="宋体" w:cs="宋体"/>
          <w:color w:val="000000" w:themeColor="text1"/>
          <w:sz w:val="24"/>
          <w:szCs w:val="24"/>
          <w:shd w:val="clear" w:color="auto" w:fill="auto"/>
          <w14:textFill>
            <w14:solidFill>
              <w14:schemeClr w14:val="tx1"/>
            </w14:solidFill>
          </w14:textFill>
        </w:rPr>
        <w:t xml:space="preserve">。 </w:t>
      </w:r>
    </w:p>
    <w:p w14:paraId="192B10BB">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⑧</w:t>
      </w:r>
      <w:r>
        <w:rPr>
          <w:rFonts w:hint="default" w:ascii="宋体" w:hAnsi="宋体" w:eastAsia="宋体" w:cs="宋体"/>
          <w:color w:val="000000" w:themeColor="text1"/>
          <w:sz w:val="24"/>
          <w:szCs w:val="24"/>
          <w:shd w:val="clear" w:color="auto" w:fill="auto"/>
          <w14:textFill>
            <w14:solidFill>
              <w14:schemeClr w14:val="tx1"/>
            </w14:solidFill>
          </w14:textFill>
        </w:rPr>
        <w:t xml:space="preserve">员工知识产权及专利相关培训。 </w:t>
      </w:r>
    </w:p>
    <w:p w14:paraId="7CC5958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⑨</w:t>
      </w:r>
      <w:r>
        <w:rPr>
          <w:rFonts w:hint="default" w:ascii="宋体" w:hAnsi="宋体" w:eastAsia="宋体" w:cs="宋体"/>
          <w:color w:val="000000" w:themeColor="text1"/>
          <w:sz w:val="24"/>
          <w:szCs w:val="24"/>
          <w:shd w:val="clear" w:color="auto" w:fill="auto"/>
          <w14:textFill>
            <w14:solidFill>
              <w14:schemeClr w14:val="tx1"/>
            </w14:solidFill>
          </w14:textFill>
        </w:rPr>
        <w:t>协助医院建立专利转化平台，并进行专利转化指导。</w:t>
      </w:r>
    </w:p>
    <w:p w14:paraId="16FEEE2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537DCD9F">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①成交供应商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应指派业务能力强的资深专利代理人担任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有以上服务范围内的需求时，可及时联络到专利代理人。 </w:t>
      </w:r>
    </w:p>
    <w:p w14:paraId="6CA87BC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及时处理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专利申请事务，一般应在收到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专利申请技术交底书后1周内完成专利撰写，在得到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对申请材料确认后2个工作日内提交专利申请。 </w:t>
      </w:r>
    </w:p>
    <w:p w14:paraId="64F3103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专利代理费、申请费由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垫付，因垫付不及时造成专利失效、产生滞纳金的，全部损失由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承担。 </w:t>
      </w:r>
    </w:p>
    <w:p w14:paraId="18A2209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④成交供应商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收到国家知识产权局专利局等官方机构对于</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所代理申请专利的反馈通知时（特指受理通知书、办理登记手续通知书、专利证书），</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应及时告知</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相关情况，并在收到相关文件3个工作日内将扫描文件通过电子邮箱发送给</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，纸质文件可根据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需求集中送至</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 </w:t>
      </w:r>
    </w:p>
    <w:p w14:paraId="02C4CC42">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必要时，根据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合理要求或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视情况赴</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所在地处理相关专利事宜。 </w:t>
      </w:r>
    </w:p>
    <w:p w14:paraId="1B50459E">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⑥成交供应商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对</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医疗科研数据、技术方案、未公开专利、内部资料承担永久保密义务；严禁泄露、外传、倒卖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技术资料；服务人员全部签订保密协议，服务结束后销毁全部涉密备份资料，违反保密约定承担赔偿责任。</w:t>
      </w:r>
    </w:p>
    <w:p w14:paraId="5EAAAD8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7358"/>
      <w:bookmarkStart w:id="80" w:name="_Toc403569795"/>
      <w:bookmarkStart w:id="81" w:name="_Toc4851087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7EA1680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1.服务期：3年，</w:t>
      </w:r>
      <w:r>
        <w:rPr>
          <w:rFonts w:hint="default" w:ascii="宋体" w:hAnsi="宋体" w:eastAsia="宋体" w:cs="宋体"/>
          <w:color w:val="FF0000"/>
          <w:sz w:val="24"/>
          <w:szCs w:val="24"/>
          <w:shd w:val="clear" w:color="auto" w:fill="auto"/>
          <w:lang w:val="en-US" w:eastAsia="zh-CN"/>
        </w:rPr>
        <w:t>自合同正式签订生效之日起计算</w:t>
      </w:r>
      <w:r>
        <w:rPr>
          <w:rFonts w:hint="eastAsia" w:ascii="宋体" w:hAnsi="宋体" w:eastAsia="宋体" w:cs="宋体"/>
          <w:color w:val="FF0000"/>
          <w:sz w:val="24"/>
          <w:szCs w:val="24"/>
          <w:shd w:val="clear" w:color="auto" w:fill="auto"/>
          <w:lang w:val="en-US" w:eastAsia="zh-CN"/>
        </w:rPr>
        <w:t>。</w:t>
      </w:r>
    </w:p>
    <w:p w14:paraId="3303EC4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2.报价方式：本项目为包干价，</w:t>
      </w:r>
      <w:r>
        <w:rPr>
          <w:rFonts w:hint="default" w:ascii="宋体" w:hAnsi="宋体" w:eastAsia="宋体" w:cs="宋体"/>
          <w:color w:val="FF0000"/>
          <w:sz w:val="24"/>
          <w:szCs w:val="24"/>
          <w:shd w:val="clear" w:color="auto" w:fill="auto"/>
          <w:lang w:val="en-US" w:eastAsia="zh-CN"/>
        </w:rPr>
        <w:t>包含</w:t>
      </w:r>
      <w:r>
        <w:rPr>
          <w:rFonts w:hint="eastAsia" w:ascii="宋体" w:hAnsi="宋体" w:eastAsia="宋体" w:cs="宋体"/>
          <w:color w:val="FF0000"/>
          <w:sz w:val="24"/>
          <w:szCs w:val="24"/>
          <w:shd w:val="clear" w:color="auto" w:fill="auto"/>
          <w:lang w:val="en-US" w:eastAsia="zh-CN"/>
        </w:rPr>
        <w:t>但不限于</w:t>
      </w:r>
      <w:r>
        <w:rPr>
          <w:rFonts w:hint="default" w:ascii="宋体" w:hAnsi="宋体" w:eastAsia="宋体" w:cs="宋体"/>
          <w:color w:val="FF0000"/>
          <w:sz w:val="24"/>
          <w:szCs w:val="24"/>
          <w:shd w:val="clear" w:color="auto" w:fill="auto"/>
          <w:lang w:val="en-US" w:eastAsia="zh-CN"/>
        </w:rPr>
        <w:t>服务费、税费等所有费用</w:t>
      </w:r>
      <w:r>
        <w:rPr>
          <w:rFonts w:hint="eastAsia" w:ascii="宋体" w:hAnsi="宋体" w:eastAsia="宋体" w:cs="宋体"/>
          <w:color w:val="FF0000"/>
          <w:sz w:val="24"/>
          <w:szCs w:val="24"/>
          <w:shd w:val="clear" w:color="auto" w:fill="auto"/>
          <w:lang w:val="en-US" w:eastAsia="zh-CN"/>
        </w:rPr>
        <w:t>。</w:t>
      </w:r>
    </w:p>
    <w:p w14:paraId="4372EADB">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3.付款方式：成交供应商</w:t>
      </w:r>
      <w:r>
        <w:rPr>
          <w:rFonts w:hint="default" w:ascii="宋体" w:hAnsi="宋体" w:eastAsia="宋体" w:cs="宋体"/>
          <w:color w:val="FF0000"/>
          <w:sz w:val="24"/>
          <w:szCs w:val="24"/>
          <w:shd w:val="clear" w:color="auto" w:fill="auto"/>
          <w:lang w:val="en-US" w:eastAsia="zh-CN"/>
        </w:rPr>
        <w:t>按期完成各项代理服务后，每月5日前由</w:t>
      </w:r>
      <w:r>
        <w:rPr>
          <w:rFonts w:hint="eastAsia" w:ascii="宋体" w:hAnsi="宋体" w:eastAsia="宋体" w:cs="宋体"/>
          <w:color w:val="FF0000"/>
          <w:sz w:val="24"/>
          <w:szCs w:val="24"/>
          <w:shd w:val="clear" w:color="auto" w:fill="auto"/>
          <w:lang w:val="en-US" w:eastAsia="zh-CN"/>
        </w:rPr>
        <w:t>成交供应商</w:t>
      </w:r>
      <w:r>
        <w:rPr>
          <w:rFonts w:hint="default" w:ascii="宋体" w:hAnsi="宋体" w:eastAsia="宋体" w:cs="宋体"/>
          <w:color w:val="FF0000"/>
          <w:sz w:val="24"/>
          <w:szCs w:val="24"/>
          <w:shd w:val="clear" w:color="auto" w:fill="auto"/>
          <w:lang w:val="en-US" w:eastAsia="zh-CN"/>
        </w:rPr>
        <w:t>提供上个月的数量清单和正规发票（遇到法定节假日时，延长至工作日上班第一天），经</w:t>
      </w:r>
      <w:r>
        <w:rPr>
          <w:rFonts w:hint="eastAsia" w:ascii="宋体" w:hAnsi="宋体" w:eastAsia="宋体" w:cs="宋体"/>
          <w:color w:val="FF0000"/>
          <w:sz w:val="24"/>
          <w:szCs w:val="24"/>
          <w:shd w:val="clear" w:color="auto" w:fill="auto"/>
          <w:lang w:val="en-US" w:eastAsia="zh-CN"/>
        </w:rPr>
        <w:t>采购人</w:t>
      </w:r>
      <w:r>
        <w:rPr>
          <w:rFonts w:hint="default" w:ascii="宋体" w:hAnsi="宋体" w:eastAsia="宋体" w:cs="宋体"/>
          <w:color w:val="FF0000"/>
          <w:sz w:val="24"/>
          <w:szCs w:val="24"/>
          <w:shd w:val="clear" w:color="auto" w:fill="auto"/>
          <w:lang w:val="en-US" w:eastAsia="zh-CN"/>
        </w:rPr>
        <w:t>审核无误后于60日内转账支付费用。</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5711"/>
      <w:bookmarkStart w:id="83" w:name="_Toc26989"/>
      <w:bookmarkStart w:id="84" w:name="_Toc403569796"/>
      <w:bookmarkStart w:id="85" w:name="_Toc14840"/>
      <w:bookmarkStart w:id="86" w:name="_Toc485108794"/>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31719"/>
      <w:bookmarkStart w:id="122" w:name="_Toc54718210"/>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2789072"/>
      <w:bookmarkStart w:id="136" w:name="_Toc14085"/>
      <w:bookmarkStart w:id="137" w:name="_Toc485108795"/>
      <w:bookmarkStart w:id="138" w:name="_Toc13696"/>
      <w:bookmarkStart w:id="139"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21293"/>
      <w:bookmarkStart w:id="148" w:name="_Toc19884"/>
      <w:bookmarkStart w:id="149"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480979018"/>
      <w:bookmarkStart w:id="153" w:name="_Toc313888360"/>
      <w:bookmarkStart w:id="154" w:name="_Toc485108796"/>
      <w:bookmarkStart w:id="155" w:name="_Toc5565"/>
      <w:bookmarkStart w:id="156" w:name="_Toc342913419"/>
      <w:bookmarkStart w:id="157" w:name="_Toc12789073"/>
      <w:bookmarkStart w:id="158"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37D4AAC0">
      <w:pPr>
        <w:tabs>
          <w:tab w:val="left" w:pos="2895"/>
        </w:tabs>
        <w:spacing w:line="360" w:lineRule="auto"/>
        <w:ind w:firstLine="480" w:firstLineChars="200"/>
        <w:outlineLvl w:val="3"/>
        <w:rPr>
          <w:rFonts w:hint="eastAsia" w:ascii="宋体" w:hAnsi="宋体"/>
          <w:sz w:val="28"/>
          <w:szCs w:val="28"/>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bookmarkStart w:id="159" w:name="_Toc480979019"/>
      <w:bookmarkStart w:id="160" w:name="_Toc313008357"/>
      <w:bookmarkStart w:id="161" w:name="_Toc342913420"/>
      <w:bookmarkStart w:id="162" w:name="_Toc313888361"/>
      <w:bookmarkStart w:id="163" w:name="_Toc485108797"/>
    </w:p>
    <w:p w14:paraId="70B9F569">
      <w:pPr>
        <w:spacing w:before="0" w:after="0" w:line="594" w:lineRule="exact"/>
        <w:jc w:val="center"/>
        <w:outlineLvl w:val="0"/>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b/>
          <w:color w:val="000000"/>
          <w:sz w:val="32"/>
          <w:szCs w:val="32"/>
        </w:rPr>
        <w:t>专利代理服务费报价表</w:t>
      </w:r>
    </w:p>
    <w:tbl>
      <w:tblPr>
        <w:tblStyle w:val="5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956"/>
        <w:gridCol w:w="1046"/>
        <w:gridCol w:w="1254"/>
        <w:gridCol w:w="1035"/>
        <w:gridCol w:w="1585"/>
      </w:tblGrid>
      <w:tr w14:paraId="139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1048EA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b/>
                <w:bCs/>
                <w:sz w:val="18"/>
                <w:szCs w:val="18"/>
              </w:rPr>
              <w:t>序号</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7B9A2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b/>
                <w:bCs/>
                <w:sz w:val="18"/>
                <w:szCs w:val="18"/>
              </w:rPr>
              <w:t>服务内容</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90C63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eastAsia="zh-CN"/>
              </w:rPr>
              <w:t>最高限价</w:t>
            </w:r>
            <w:r>
              <w:rPr>
                <w:rFonts w:hint="eastAsia" w:ascii="宋体" w:hAnsi="宋体" w:eastAsia="宋体" w:cs="宋体"/>
                <w:sz w:val="18"/>
                <w:szCs w:val="18"/>
              </w:rPr>
              <w:t>（元/件</w:t>
            </w:r>
            <w:r>
              <w:rPr>
                <w:rFonts w:hint="eastAsia" w:ascii="宋体" w:hAnsi="宋体" w:eastAsia="宋体" w:cs="宋体"/>
                <w:sz w:val="18"/>
                <w:szCs w:val="18"/>
                <w:lang w:val="en-US" w:eastAsia="zh-CN"/>
              </w:rPr>
              <w:t>/</w:t>
            </w:r>
            <w:r>
              <w:rPr>
                <w:rFonts w:hint="eastAsia" w:ascii="宋体" w:hAnsi="宋体" w:eastAsia="宋体" w:cs="宋体"/>
                <w:sz w:val="18"/>
                <w:szCs w:val="18"/>
              </w:rPr>
              <w:t>次）</w:t>
            </w:r>
          </w:p>
        </w:tc>
        <w:tc>
          <w:tcPr>
            <w:tcW w:w="651" w:type="pct"/>
            <w:tcBorders>
              <w:top w:val="single" w:color="auto" w:sz="4" w:space="0"/>
              <w:left w:val="single" w:color="auto" w:sz="4" w:space="0"/>
              <w:bottom w:val="single" w:color="auto" w:sz="4" w:space="0"/>
              <w:right w:val="single" w:color="auto" w:sz="4" w:space="0"/>
            </w:tcBorders>
            <w:noWrap w:val="0"/>
            <w:vAlign w:val="center"/>
          </w:tcPr>
          <w:p w14:paraId="4DE6AA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年预计服务数量</w:t>
            </w:r>
          </w:p>
          <w:p w14:paraId="5AE1FD7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themeColor="text1"/>
                <w:sz w:val="18"/>
                <w:szCs w:val="18"/>
                <w:lang w:eastAsia="zh-CN"/>
                <w14:textFill>
                  <w14:solidFill>
                    <w14:schemeClr w14:val="tx1"/>
                  </w14:solidFill>
                </w14:textFill>
              </w:rPr>
              <w:t>（</w:t>
            </w:r>
            <w:r>
              <w:rPr>
                <w:rFonts w:hint="eastAsia" w:ascii="宋体" w:hAnsi="宋体" w:eastAsia="宋体" w:cs="宋体"/>
                <w:color w:val="000000" w:themeColor="text1"/>
                <w:sz w:val="18"/>
                <w:szCs w:val="18"/>
                <w:lang w:val="en-US" w:eastAsia="zh-CN"/>
                <w14:textFill>
                  <w14:solidFill>
                    <w14:schemeClr w14:val="tx1"/>
                  </w14:solidFill>
                </w14:textFill>
              </w:rPr>
              <w:t>预估数量，以实际为准</w:t>
            </w:r>
            <w:r>
              <w:rPr>
                <w:rFonts w:hint="eastAsia" w:ascii="宋体" w:hAnsi="宋体" w:eastAsia="宋体" w:cs="宋体"/>
                <w:color w:val="000000" w:themeColor="text1"/>
                <w:sz w:val="18"/>
                <w:szCs w:val="18"/>
                <w:lang w:eastAsia="zh-CN"/>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noWrap w:val="0"/>
            <w:vAlign w:val="center"/>
          </w:tcPr>
          <w:p w14:paraId="34E7372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供应商报价</w:t>
            </w:r>
            <w:r>
              <w:rPr>
                <w:rFonts w:hint="eastAsia" w:ascii="宋体" w:hAnsi="宋体" w:eastAsia="宋体" w:cs="宋体"/>
                <w:sz w:val="18"/>
                <w:szCs w:val="18"/>
              </w:rPr>
              <w:t>（元/件</w:t>
            </w:r>
            <w:r>
              <w:rPr>
                <w:rFonts w:hint="eastAsia" w:ascii="宋体" w:hAnsi="宋体" w:eastAsia="宋体" w:cs="宋体"/>
                <w:sz w:val="18"/>
                <w:szCs w:val="18"/>
                <w:lang w:val="en-US" w:eastAsia="zh-CN"/>
              </w:rPr>
              <w:t>/</w:t>
            </w:r>
            <w:r>
              <w:rPr>
                <w:rFonts w:hint="eastAsia" w:ascii="宋体" w:hAnsi="宋体" w:eastAsia="宋体" w:cs="宋体"/>
                <w:sz w:val="18"/>
                <w:szCs w:val="18"/>
              </w:rPr>
              <w:t>次）</w:t>
            </w:r>
          </w:p>
        </w:tc>
        <w:tc>
          <w:tcPr>
            <w:tcW w:w="824" w:type="pct"/>
            <w:tcBorders>
              <w:top w:val="single" w:color="auto" w:sz="4" w:space="0"/>
              <w:left w:val="single" w:color="auto" w:sz="4" w:space="0"/>
              <w:bottom w:val="single" w:color="auto" w:sz="4" w:space="0"/>
              <w:right w:val="single" w:color="auto" w:sz="4" w:space="0"/>
            </w:tcBorders>
            <w:noWrap w:val="0"/>
            <w:vAlign w:val="center"/>
          </w:tcPr>
          <w:p w14:paraId="6D9BFD4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小计金额（元）</w:t>
            </w:r>
          </w:p>
        </w:tc>
      </w:tr>
      <w:tr w14:paraId="17F8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996F0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7E9687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发明专利申请（专利文件撰写）</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4AFE9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3000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63431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766C5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213CB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239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F86633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BC736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实用新型专利申请</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2A0FF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1500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57F6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94114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1019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3753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445851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C3DB7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外观设计专利申请</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611CF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C80C6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41548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6FF60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0B8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30E01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10DE2B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双报专利申请</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81B1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6000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1CF68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766FF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10DD9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DA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4E2F9A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5</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B5D90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专利实审答复</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A5807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D467C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10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6916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57111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4DB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087477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6</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84AF3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专利无效</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22078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15000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04AD0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2785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107F6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1710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A08930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7</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43F0A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专利申请、授权、年费代缴服务费</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9D74C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3CA03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54F42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9E5F4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1CDC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E4D58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8</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EC901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专利许可、转让服务（著录项变更）</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791F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EFE1E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A46BB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BAC12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507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06430F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9</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959D8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专利年费、滞纳金缴费提醒</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09B88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4D1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FF6A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56F13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F3E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229D0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10</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8B56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知识产权法规及政策等专利相关问题解读及咨询服务</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7209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11003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EA374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35B2D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DA1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7035AD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6F81E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sz w:val="18"/>
                <w:szCs w:val="18"/>
              </w:rPr>
            </w:pPr>
            <w:r>
              <w:rPr>
                <w:rFonts w:hint="eastAsia" w:ascii="宋体" w:hAnsi="宋体" w:eastAsia="宋体" w:cs="宋体"/>
                <w:sz w:val="18"/>
                <w:szCs w:val="18"/>
              </w:rPr>
              <w:t>对招标人提供的专利申请技术交底书内容进行检索分析，并给出相关意见</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9BE07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106C0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DD204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AA78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4817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EF0ADA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3F6AAA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协助招标人建立专利管理台账</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BD333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BC904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14212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98892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0E0F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5A5C12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7841D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员工知识产权及专利相关培训</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C5F0D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5024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FA10C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660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5369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B3201A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sz w:val="18"/>
                <w:szCs w:val="18"/>
              </w:rPr>
              <w:t>14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93B31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rPr>
            </w:pPr>
            <w:r>
              <w:rPr>
                <w:rFonts w:hint="eastAsia" w:ascii="宋体" w:hAnsi="宋体" w:eastAsia="宋体" w:cs="宋体"/>
                <w:sz w:val="18"/>
                <w:szCs w:val="18"/>
              </w:rPr>
              <w:t>协助医院建立专利转化平台，并进行专利转化指导</w:t>
            </w:r>
          </w:p>
        </w:tc>
        <w:tc>
          <w:tcPr>
            <w:tcW w:w="54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6F3A5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0</w:t>
            </w:r>
          </w:p>
        </w:tc>
        <w:tc>
          <w:tcPr>
            <w:tcW w:w="65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8383E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A5F4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C3630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r w14:paraId="3DC3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637" w:type="pct"/>
            <w:gridSpan w:val="4"/>
            <w:tcBorders>
              <w:top w:val="single" w:color="auto" w:sz="4" w:space="0"/>
              <w:left w:val="single" w:color="auto" w:sz="4" w:space="0"/>
              <w:bottom w:val="single" w:color="auto" w:sz="4" w:space="0"/>
              <w:right w:val="single" w:color="auto" w:sz="4" w:space="0"/>
            </w:tcBorders>
            <w:noWrap w:val="0"/>
            <w:vAlign w:val="center"/>
          </w:tcPr>
          <w:p w14:paraId="338A1F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合计（元/年）</w:t>
            </w:r>
          </w:p>
        </w:tc>
        <w:tc>
          <w:tcPr>
            <w:tcW w:w="1362" w:type="pct"/>
            <w:gridSpan w:val="2"/>
            <w:tcBorders>
              <w:top w:val="single" w:color="auto" w:sz="4" w:space="0"/>
              <w:left w:val="single" w:color="auto" w:sz="4" w:space="0"/>
              <w:bottom w:val="single" w:color="auto" w:sz="4" w:space="0"/>
              <w:right w:val="single" w:color="auto" w:sz="4" w:space="0"/>
            </w:tcBorders>
            <w:noWrap w:val="0"/>
            <w:vAlign w:val="center"/>
          </w:tcPr>
          <w:p w14:paraId="5294225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sz w:val="18"/>
                <w:szCs w:val="18"/>
                <w:lang w:val="en-US" w:eastAsia="zh-CN"/>
              </w:rPr>
            </w:pPr>
          </w:p>
        </w:tc>
      </w:tr>
    </w:tbl>
    <w:p w14:paraId="50B1FD2F">
      <w:pPr>
        <w:autoSpaceDE w:val="0"/>
        <w:autoSpaceDN w:val="0"/>
        <w:adjustRightInd w:val="0"/>
        <w:snapToGrid w:val="0"/>
        <w:spacing w:line="594" w:lineRule="exact"/>
        <w:jc w:val="left"/>
        <w:rPr>
          <w:rFonts w:hint="default"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注：</w:t>
      </w:r>
      <w:r>
        <w:rPr>
          <w:rFonts w:hint="eastAsia" w:ascii="宋体" w:hAnsi="宋体" w:eastAsia="宋体" w:cs="宋体"/>
          <w:color w:val="FF0000"/>
          <w:sz w:val="24"/>
          <w:szCs w:val="24"/>
          <w:shd w:val="clear" w:color="auto" w:fill="auto"/>
          <w:lang w:val="en-US" w:eastAsia="zh-CN"/>
        </w:rPr>
        <w:t>1.</w:t>
      </w:r>
      <w:r>
        <w:rPr>
          <w:rFonts w:hint="default" w:ascii="宋体" w:hAnsi="宋体" w:eastAsia="宋体" w:cs="宋体"/>
          <w:color w:val="FF0000"/>
          <w:sz w:val="24"/>
          <w:szCs w:val="24"/>
          <w:shd w:val="clear" w:color="auto" w:fill="auto"/>
          <w:lang w:val="en-US" w:eastAsia="zh-CN"/>
        </w:rPr>
        <w:t>上述报价均不含知识产权局的官费部分。</w:t>
      </w:r>
    </w:p>
    <w:p w14:paraId="41B6A6AD">
      <w:pPr>
        <w:autoSpaceDE w:val="0"/>
        <w:autoSpaceDN w:val="0"/>
        <w:adjustRightInd w:val="0"/>
        <w:snapToGrid w:val="0"/>
        <w:spacing w:line="594" w:lineRule="exact"/>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2.本项目为包干价，</w:t>
      </w:r>
      <w:r>
        <w:rPr>
          <w:rFonts w:hint="default" w:ascii="宋体" w:hAnsi="宋体" w:eastAsia="宋体" w:cs="宋体"/>
          <w:color w:val="FF0000"/>
          <w:sz w:val="24"/>
          <w:szCs w:val="24"/>
          <w:shd w:val="clear" w:color="auto" w:fill="auto"/>
          <w:lang w:val="en-US" w:eastAsia="zh-CN"/>
        </w:rPr>
        <w:t>包含</w:t>
      </w:r>
      <w:r>
        <w:rPr>
          <w:rFonts w:hint="eastAsia" w:ascii="宋体" w:hAnsi="宋体" w:eastAsia="宋体" w:cs="宋体"/>
          <w:color w:val="FF0000"/>
          <w:sz w:val="24"/>
          <w:szCs w:val="24"/>
          <w:shd w:val="clear" w:color="auto" w:fill="auto"/>
          <w:lang w:val="en-US" w:eastAsia="zh-CN"/>
        </w:rPr>
        <w:t>但不限于</w:t>
      </w:r>
      <w:r>
        <w:rPr>
          <w:rFonts w:hint="default" w:ascii="宋体" w:hAnsi="宋体" w:eastAsia="宋体" w:cs="宋体"/>
          <w:color w:val="FF0000"/>
          <w:sz w:val="24"/>
          <w:szCs w:val="24"/>
          <w:shd w:val="clear" w:color="auto" w:fill="auto"/>
          <w:lang w:val="en-US" w:eastAsia="zh-CN"/>
        </w:rPr>
        <w:t>服务费、税费等所有费用</w:t>
      </w:r>
      <w:r>
        <w:rPr>
          <w:rFonts w:hint="eastAsia" w:ascii="宋体" w:hAnsi="宋体" w:eastAsia="宋体" w:cs="宋体"/>
          <w:color w:val="FF0000"/>
          <w:sz w:val="24"/>
          <w:szCs w:val="24"/>
          <w:shd w:val="clear" w:color="auto" w:fill="auto"/>
          <w:lang w:val="en-US" w:eastAsia="zh-CN"/>
        </w:rPr>
        <w:t>。</w:t>
      </w:r>
    </w:p>
    <w:p w14:paraId="06777803">
      <w:pPr>
        <w:pStyle w:val="22"/>
        <w:ind w:firstLine="11480" w:firstLineChars="4100"/>
        <w:rPr>
          <w:rFonts w:hint="eastAsia" w:ascii="宋体" w:hAnsi="宋体" w:eastAsia="宋体" w:cs="宋体"/>
          <w:color w:val="FF0000"/>
          <w:sz w:val="28"/>
          <w:szCs w:val="28"/>
          <w:shd w:val="clear" w:color="auto" w:fill="auto"/>
          <w:lang w:val="en-US" w:eastAsia="zh-CN"/>
        </w:rPr>
      </w:pPr>
    </w:p>
    <w:p w14:paraId="26BD9500">
      <w:pPr>
        <w:pStyle w:val="22"/>
        <w:ind w:firstLine="11480" w:firstLineChars="4100"/>
        <w:rPr>
          <w:rFonts w:hint="eastAsia" w:ascii="宋体" w:hAnsi="宋体" w:eastAsia="宋体" w:cs="宋体"/>
          <w:color w:val="FF0000"/>
          <w:sz w:val="28"/>
          <w:szCs w:val="28"/>
          <w:shd w:val="clear" w:color="auto" w:fill="auto"/>
          <w:lang w:val="en-US" w:eastAsia="zh-CN"/>
        </w:rPr>
      </w:pPr>
    </w:p>
    <w:p w14:paraId="77211045">
      <w:pPr>
        <w:pStyle w:val="22"/>
        <w:ind w:left="6983" w:leftChars="3325" w:firstLine="4480" w:firstLineChars="16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 xml:space="preserve"> 参选供应商公章</w:t>
      </w:r>
    </w:p>
    <w:p w14:paraId="45DEB1F0">
      <w:pPr>
        <w:pStyle w:val="22"/>
        <w:ind w:left="7262" w:leftChars="3458" w:firstLine="3920" w:firstLineChars="14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年年   月  日</w:t>
      </w:r>
    </w:p>
    <w:p w14:paraId="3682F243">
      <w:pPr>
        <w:rPr>
          <w:rFonts w:hint="eastAsia" w:ascii="宋体" w:hAnsi="宋体" w:eastAsia="宋体" w:cs="宋体"/>
          <w:color w:val="FF0000"/>
          <w:sz w:val="28"/>
          <w:szCs w:val="28"/>
          <w:shd w:val="clear" w:color="auto" w:fill="auto"/>
          <w:lang w:val="en-US" w:eastAsia="zh-CN"/>
        </w:rPr>
      </w:pPr>
    </w:p>
    <w:p w14:paraId="16D4EBD3">
      <w:pPr>
        <w:rPr>
          <w:rFonts w:hint="eastAsia" w:ascii="宋体" w:hAnsi="宋体" w:eastAsia="宋体" w:cs="宋体"/>
          <w:color w:val="FF0000"/>
          <w:sz w:val="28"/>
          <w:szCs w:val="28"/>
          <w:shd w:val="clear" w:color="auto" w:fill="auto"/>
          <w:lang w:val="en-US" w:eastAsia="zh-CN"/>
        </w:rPr>
      </w:pPr>
    </w:p>
    <w:p w14:paraId="572FFD56">
      <w:pPr>
        <w:rPr>
          <w:rFonts w:hint="eastAsia" w:ascii="宋体" w:hAnsi="宋体" w:eastAsia="宋体" w:cs="宋体"/>
          <w:color w:val="FF0000"/>
          <w:sz w:val="28"/>
          <w:szCs w:val="28"/>
          <w:shd w:val="clear" w:color="auto" w:fill="auto"/>
          <w:lang w:val="en-US" w:eastAsia="zh-CN"/>
        </w:rPr>
      </w:pPr>
    </w:p>
    <w:p w14:paraId="49A4667A">
      <w:pPr>
        <w:rPr>
          <w:rFonts w:hint="eastAsia" w:ascii="宋体" w:hAnsi="宋体" w:eastAsia="宋体" w:cs="宋体"/>
          <w:b/>
          <w:color w:val="000000" w:themeColor="text1"/>
          <w:shd w:val="clear" w:color="auto" w:fill="auto"/>
          <w14:textFill>
            <w14:solidFill>
              <w14:schemeClr w14:val="tx1"/>
            </w14:solidFill>
          </w14:textFill>
        </w:rPr>
      </w:pPr>
      <w:bookmarkStart w:id="164" w:name="_Toc9883"/>
      <w:bookmarkStart w:id="165" w:name="_Toc12908"/>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13888363"/>
      <w:bookmarkStart w:id="180" w:name="_Toc313008359"/>
      <w:bookmarkStart w:id="181" w:name="_Toc342913422"/>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szCs w:val="24"/>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300AE1D2-B902-438B-9C31-ADDF9CC8AF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2872BA2"/>
    <w:rsid w:val="13141499"/>
    <w:rsid w:val="131D034D"/>
    <w:rsid w:val="13411FFB"/>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1E1C19"/>
    <w:rsid w:val="293D6BFB"/>
    <w:rsid w:val="29430470"/>
    <w:rsid w:val="29A81CF0"/>
    <w:rsid w:val="2A046C3B"/>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A7151B"/>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51509E"/>
    <w:rsid w:val="6DAB4CCB"/>
    <w:rsid w:val="6DC70D5C"/>
    <w:rsid w:val="6DDA24A1"/>
    <w:rsid w:val="6DFC3BBF"/>
    <w:rsid w:val="6E0E1C83"/>
    <w:rsid w:val="6E45126B"/>
    <w:rsid w:val="6EA047F7"/>
    <w:rsid w:val="6EFB5292"/>
    <w:rsid w:val="6F062BB9"/>
    <w:rsid w:val="6F185329"/>
    <w:rsid w:val="6F213E8F"/>
    <w:rsid w:val="70964089"/>
    <w:rsid w:val="70E64A50"/>
    <w:rsid w:val="71231A63"/>
    <w:rsid w:val="714B6E37"/>
    <w:rsid w:val="71C72BEE"/>
    <w:rsid w:val="72AA2579"/>
    <w:rsid w:val="73164466"/>
    <w:rsid w:val="73614D85"/>
    <w:rsid w:val="7363682B"/>
    <w:rsid w:val="739465A0"/>
    <w:rsid w:val="73A82490"/>
    <w:rsid w:val="73AA3664"/>
    <w:rsid w:val="73B34AD5"/>
    <w:rsid w:val="73D42B6E"/>
    <w:rsid w:val="743B3E3F"/>
    <w:rsid w:val="74E41D61"/>
    <w:rsid w:val="75410BDB"/>
    <w:rsid w:val="75C7395D"/>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11290</Words>
  <Characters>11505</Characters>
  <Lines>182</Lines>
  <Paragraphs>51</Paragraphs>
  <TotalTime>0</TotalTime>
  <ScaleCrop>false</ScaleCrop>
  <LinksUpToDate>false</LinksUpToDate>
  <CharactersWithSpaces>11696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2026-07-09T01:00:46Z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