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2026FW064</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兴龙湖院区辅助用房建设工程</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197C5CF0">
      <w:pPr>
        <w:spacing w:line="760" w:lineRule="exact"/>
        <w:ind w:left="2407" w:leftChars="413" w:hanging="1540" w:hangingChars="55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采   购   人</w:t>
      </w:r>
      <w:r>
        <w:rPr>
          <w:rFonts w:hint="eastAsia" w:ascii="宋体" w:hAnsi="宋体" w:eastAsia="宋体" w:cs="宋体"/>
          <w:color w:val="000000" w:themeColor="text1"/>
          <w:sz w:val="28"/>
          <w:szCs w:val="28"/>
          <w:lang w:eastAsia="zh-CN"/>
          <w14:textFill>
            <w14:solidFill>
              <w14:schemeClr w14:val="tx1"/>
            </w14:solidFill>
          </w14:textFill>
        </w:rPr>
        <w:t>：重庆医科大学附属永川医院</w:t>
      </w:r>
    </w:p>
    <w:p w14:paraId="5A74F144">
      <w:pPr>
        <w:spacing w:line="760" w:lineRule="exact"/>
        <w:ind w:left="2407" w:leftChars="413" w:hanging="1540" w:hangingChars="55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采购代理机构：重庆鸿兴招标代理有限公司</w:t>
      </w:r>
    </w:p>
    <w:p w14:paraId="6905ED03">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9"/>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4"/>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485108766"/>
      <w:bookmarkStart w:id="1" w:name="_Toc11641050"/>
      <w:bookmarkStart w:id="2" w:name="_Toc12789052"/>
      <w:bookmarkStart w:id="3" w:name="_Toc23588"/>
      <w:bookmarkStart w:id="4" w:name="_Toc25875"/>
      <w:bookmarkStart w:id="5" w:name="_Toc6921"/>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对</w:t>
      </w:r>
      <w:r>
        <w:rPr>
          <w:rFonts w:hint="eastAsia" w:ascii="宋体" w:hAnsi="宋体" w:eastAsia="宋体" w:cs="宋体"/>
          <w:color w:val="000000" w:themeColor="text1"/>
          <w:sz w:val="24"/>
          <w:szCs w:val="24"/>
          <w:u w:val="single"/>
          <w:shd w:val="clear" w:color="auto" w:fill="auto"/>
          <w:lang w:eastAsia="zh-CN"/>
          <w14:textFill>
            <w14:solidFill>
              <w14:schemeClr w14:val="tx1"/>
            </w14:solidFill>
          </w14:textFill>
        </w:rPr>
        <w:t>重医附属永川医院兴龙湖院区辅助用房建设工程</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5"/>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3893526"/>
      <w:bookmarkStart w:id="10" w:name="_Toc28443"/>
      <w:bookmarkStart w:id="11" w:name="_Toc317775175"/>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9"/>
        <w:tblpPr w:leftFromText="180" w:rightFromText="180" w:vertAnchor="text" w:tblpXSpec="center" w:tblpY="1"/>
        <w:tblOverlap w:val="never"/>
        <w:tblW w:w="8836"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197"/>
        <w:gridCol w:w="2000"/>
        <w:gridCol w:w="1224"/>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197" w:type="dxa"/>
            <w:vAlign w:val="center"/>
          </w:tcPr>
          <w:p w14:paraId="1E1EBD72">
            <w:pPr>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000" w:type="dxa"/>
            <w:vAlign w:val="center"/>
          </w:tcPr>
          <w:p w14:paraId="5C6F9C8B">
            <w:pPr>
              <w:pStyle w:val="3"/>
              <w:spacing w:line="240" w:lineRule="auto"/>
              <w:ind w:left="0" w:leftChars="0"/>
              <w:jc w:val="center"/>
              <w:rPr>
                <w:rFonts w:hint="eastAsia" w:ascii="宋体" w:hAnsi="宋体" w:eastAsia="宋体" w:cs="宋体"/>
                <w:color w:val="000000" w:themeColor="text1"/>
                <w:kern w:val="2"/>
                <w:sz w:val="24"/>
                <w:szCs w:val="24"/>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shd w:val="clear" w:color="auto" w:fill="auto"/>
                <w:lang w:val="en-US" w:eastAsia="zh-CN" w:bidi="ar-SA"/>
                <w14:textFill>
                  <w14:solidFill>
                    <w14:schemeClr w14:val="tx1"/>
                  </w14:solidFill>
                </w14:textFill>
              </w:rPr>
              <w:t>采购标的对应的中小微企业划分标准所属行业</w:t>
            </w:r>
          </w:p>
        </w:tc>
        <w:tc>
          <w:tcPr>
            <w:tcW w:w="1224" w:type="dxa"/>
            <w:vAlign w:val="center"/>
          </w:tcPr>
          <w:p w14:paraId="09159D51">
            <w:pPr>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重医附属永川医院兴龙湖院区辅助用房建设工程</w:t>
            </w:r>
          </w:p>
        </w:tc>
        <w:tc>
          <w:tcPr>
            <w:tcW w:w="2197" w:type="dxa"/>
            <w:vAlign w:val="center"/>
          </w:tcPr>
          <w:p w14:paraId="2E311328">
            <w:pPr>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000" w:type="dxa"/>
            <w:vAlign w:val="center"/>
          </w:tcPr>
          <w:p w14:paraId="0F2BBD7B">
            <w:pPr>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建筑业</w:t>
            </w:r>
          </w:p>
        </w:tc>
        <w:tc>
          <w:tcPr>
            <w:tcW w:w="1224" w:type="dxa"/>
            <w:vAlign w:val="center"/>
          </w:tcPr>
          <w:p w14:paraId="0039102D">
            <w:pPr>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6E2622A9">
      <w:pPr>
        <w:pStyle w:val="24"/>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p>
    <w:p w14:paraId="55981603">
      <w:pPr>
        <w:pStyle w:val="24"/>
        <w:pageBreakBefore w:val="0"/>
        <w:widowControl w:val="0"/>
        <w:numPr>
          <w:ilvl w:val="0"/>
          <w:numId w:val="13"/>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w:t>
      </w:r>
    </w:p>
    <w:p w14:paraId="26EF68D2">
      <w:pPr>
        <w:pStyle w:val="24"/>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自筹资金,项目预算：990786.80元，最终报价不得超过预算，否则为“无效比选”。</w:t>
      </w:r>
    </w:p>
    <w:p w14:paraId="7AA96D60">
      <w:pPr>
        <w:pStyle w:val="24"/>
        <w:pageBreakBefore w:val="0"/>
        <w:widowControl w:val="0"/>
        <w:numPr>
          <w:ilvl w:val="0"/>
          <w:numId w:val="0"/>
        </w:numPr>
        <w:kinsoku/>
        <w:wordWrap/>
        <w:overflowPunct/>
        <w:topLinePunct w:val="0"/>
        <w:autoSpaceDE/>
        <w:autoSpaceDN/>
        <w:bidi w:val="0"/>
        <w:adjustRightInd/>
        <w:snapToGrid/>
        <w:spacing w:line="400" w:lineRule="exact"/>
        <w:textAlignment w:val="auto"/>
        <w:rPr>
          <w:rStyle w:val="71"/>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w:t>
      </w:r>
      <w:bookmarkStart w:id="194" w:name="_GoBack"/>
      <w:bookmarkEnd w:id="194"/>
      <w:r>
        <w:rPr>
          <w:rFonts w:hint="eastAsia" w:ascii="宋体" w:hAnsi="宋体" w:eastAsia="宋体" w:cs="宋体"/>
          <w:color w:val="000000" w:themeColor="text1"/>
          <w:sz w:val="24"/>
          <w:szCs w:val="24"/>
          <w:shd w:val="clear" w:color="auto" w:fill="auto"/>
          <w14:textFill>
            <w14:solidFill>
              <w14:schemeClr w14:val="tx1"/>
            </w14:solidFill>
          </w14:textFill>
        </w:rPr>
        <w:t>没有重大违法记录；</w:t>
      </w:r>
    </w:p>
    <w:p w14:paraId="2AF50C89">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5BC1504">
      <w:pPr>
        <w:spacing w:line="360" w:lineRule="auto"/>
        <w:ind w:firstLine="480" w:firstLineChars="20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具备建设行政主管部门颁发的有效的建筑工程施工总承包三级及以上资质（提供证书复印件并加盖供应商公章）</w:t>
      </w:r>
      <w:r>
        <w:rPr>
          <w:rFonts w:hint="eastAsia" w:ascii="宋体" w:hAnsi="宋体" w:eastAsia="宋体" w:cs="宋体"/>
          <w:color w:val="FF0000"/>
          <w:sz w:val="24"/>
          <w:szCs w:val="24"/>
          <w:shd w:val="clear" w:color="auto" w:fill="auto"/>
          <w:lang w:eastAsia="zh-CN"/>
        </w:rPr>
        <w:t>。</w:t>
      </w:r>
    </w:p>
    <w:p w14:paraId="4FEDC761">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rPr>
        <w:t>具备建设行政主管部门颁发的有效的安全生产许可证（提供证书复印件并加盖供应商公章）</w:t>
      </w:r>
      <w:r>
        <w:rPr>
          <w:rFonts w:hint="eastAsia" w:ascii="宋体" w:hAnsi="宋体" w:eastAsia="宋体" w:cs="宋体"/>
          <w:color w:val="FF0000"/>
          <w:sz w:val="24"/>
          <w:szCs w:val="24"/>
          <w:shd w:val="clear" w:color="auto" w:fill="auto"/>
          <w:lang w:eastAsia="zh-CN"/>
        </w:rPr>
        <w:t>。</w:t>
      </w:r>
    </w:p>
    <w:p w14:paraId="54D434CB">
      <w:pPr>
        <w:pStyle w:val="24"/>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4"/>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14</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pageBreakBefore w:val="0"/>
        <w:widowControl w:val="0"/>
        <w:kinsoku/>
        <w:wordWrap/>
        <w:overflowPunct/>
        <w:topLinePunct w:val="0"/>
        <w:autoSpaceDE/>
        <w:autoSpaceDN/>
        <w:bidi w:val="0"/>
        <w:adjustRightInd/>
        <w:snapToGrid/>
        <w:spacing w:line="400" w:lineRule="exact"/>
        <w:ind w:left="10" w:leftChars="5" w:firstLine="720" w:firstLineChars="3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5"/>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718176"/>
      <w:bookmarkStart w:id="24" w:name="_Toc54171062"/>
      <w:bookmarkStart w:id="25" w:name="_Toc373860294"/>
    </w:p>
    <w:bookmarkEnd w:id="23"/>
    <w:bookmarkEnd w:id="24"/>
    <w:bookmarkEnd w:id="25"/>
    <w:p w14:paraId="1FD6A981">
      <w:pPr>
        <w:pStyle w:val="5"/>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（八）本项目不接受联合体参与比选，否则按无效投标处理。</w:t>
      </w:r>
    </w:p>
    <w:p w14:paraId="693D350A">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本项目</w:t>
      </w:r>
      <w:r>
        <w:rPr>
          <w:rFonts w:hint="eastAsia" w:ascii="宋体" w:hAnsi="宋体" w:eastAsia="宋体" w:cs="宋体"/>
          <w:color w:val="000000" w:themeColor="text1"/>
          <w:sz w:val="24"/>
          <w:szCs w:val="24"/>
          <w:shd w:val="clear" w:color="auto" w:fill="auto"/>
          <w14:textFill>
            <w14:solidFill>
              <w14:schemeClr w14:val="tx1"/>
            </w14:solidFill>
          </w14:textFill>
        </w:rPr>
        <w:t>不接受合同分包、转包，否则按无效投标处理</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A847D77">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5"/>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5"/>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p>
    <w:p w14:paraId="369AE8EB">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bookmarkStart w:id="31" w:name="_Toc22321"/>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422B3D50">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63B04E3F">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71DFC860">
      <w:pPr>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6F8B0DE4">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5CD03AB7">
      <w:pPr>
        <w:pStyle w:val="4"/>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7577329">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1、本工程采用工程量清单计价，固定综合单价。</w:t>
      </w:r>
    </w:p>
    <w:p w14:paraId="0242212A">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范围：各供应商应按照比选文件的施工内容范围的规定，对采购人提供的工程量清单，结合施工设计图纸的要求予以自主报价，按要求填写相应清单表格。工程量清单中的工程量是用作比选报价的估算工程量，不作为最终结算的工程量。用于结算的工程量是实际完成的工程量，并按有关规定计量的合格工程量；供应商可进行二次报价，</w:t>
      </w:r>
      <w:r>
        <w:rPr>
          <w:rFonts w:hint="eastAsia" w:ascii="宋体" w:hAnsi="宋体" w:eastAsia="宋体" w:cs="宋体"/>
          <w:color w:val="FF0000"/>
          <w:sz w:val="24"/>
          <w:szCs w:val="24"/>
          <w:highlight w:val="none"/>
          <w:lang w:val="en-US" w:eastAsia="zh-CN"/>
        </w:rPr>
        <w:t>供应商最后报价时，须以首次响应总报价为基数等比例下调，各分部分项工程量清单报价应与总价同比例下浮，不得调整报价结构，且不得高于首次响应报价。</w:t>
      </w:r>
      <w:r>
        <w:rPr>
          <w:rFonts w:hint="eastAsia" w:ascii="宋体" w:hAnsi="宋体" w:eastAsia="宋体" w:cs="宋体"/>
          <w:color w:val="FF0000"/>
          <w:sz w:val="24"/>
          <w:szCs w:val="24"/>
          <w:shd w:val="clear" w:color="auto" w:fill="auto"/>
          <w:lang w:val="en-US" w:eastAsia="zh-CN"/>
        </w:rPr>
        <w:t>报价时，供应商应充分考虑施工区域、作业难度、施工难度、现场安全文明施工要求、质量要求、采购人各项管理规定等因素。</w:t>
      </w:r>
    </w:p>
    <w:p w14:paraId="79A9D198">
      <w:pPr>
        <w:pageBreakBefore w:val="0"/>
        <w:widowControl w:val="0"/>
        <w:kinsoku/>
        <w:wordWrap/>
        <w:overflowPunct/>
        <w:topLinePunct w:val="0"/>
        <w:autoSpaceDE/>
        <w:autoSpaceDN/>
        <w:bidi w:val="0"/>
        <w:adjustRightInd/>
        <w:spacing w:line="400" w:lineRule="exact"/>
        <w:ind w:firstLine="480" w:firstLineChars="200"/>
        <w:textAlignment w:val="auto"/>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52415169">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原则：由供应商以比选文件、合同条件、工程量清单、本次比选范围内的施工图纸内容、国家技术和经济规范及标准，按照现行《建设工程工程量清单计价规范》（GB50500-2013）及重庆市相关计价定额及配套文件为依据，供应商结合自身实力、市场行情自主合理报价。比选报价应包括完成本工程项目的人工费、材料费、机械费、企业管理费、利润、风险费用、措施费（含安全文明施工费）、规费、税金等所有费用。采购人除此以外不支付其它费用。</w:t>
      </w:r>
    </w:p>
    <w:p w14:paraId="58B7D80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份，其中正本一份，副本三份；电子文档一份（电子文档内容应与纸质文件正本一致，提供签字盖章完整的扫描件PDF格式，如不一致以纸质文件正本为准；推荐采用U盘为电子文档载体）</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副本可为正本的复印件，应与正本一致，如出现不一致情况以正本为准。</w:t>
      </w:r>
    </w:p>
    <w:p w14:paraId="51BB1B1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8122"/>
      <w:bookmarkStart w:id="41" w:name="_Toc342913393"/>
      <w:bookmarkStart w:id="42" w:name="_Toc102227319"/>
      <w:bookmarkStart w:id="43" w:name="_Toc19143"/>
      <w:bookmarkStart w:id="44" w:name="_Toc403569780"/>
      <w:bookmarkStart w:id="45" w:name="_Toc179714298"/>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9"/>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pageBreakBefore w:val="0"/>
              <w:widowControl w:val="0"/>
              <w:kinsoku/>
              <w:wordWrap/>
              <w:overflowPunct/>
              <w:topLinePunct w:val="0"/>
              <w:autoSpaceDE/>
              <w:autoSpaceDN/>
              <w:bidi w:val="0"/>
              <w:adjustRightInd/>
              <w:snapToGrid w:val="0"/>
              <w:spacing w:line="400" w:lineRule="exact"/>
              <w:ind w:firstLine="420" w:firstLineChars="200"/>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pageBreakBefore w:val="0"/>
              <w:widowControl w:val="0"/>
              <w:kinsoku/>
              <w:wordWrap/>
              <w:overflowPunct/>
              <w:topLinePunct w:val="0"/>
              <w:autoSpaceDE/>
              <w:autoSpaceDN/>
              <w:bidi w:val="0"/>
              <w:adjustRightInd/>
              <w:snapToGrid w:val="0"/>
              <w:spacing w:line="400" w:lineRule="exact"/>
              <w:ind w:firstLine="420" w:firstLineChars="200"/>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pageBreakBefore w:val="0"/>
              <w:widowControl w:val="0"/>
              <w:kinsoku/>
              <w:wordWrap/>
              <w:overflowPunct/>
              <w:topLinePunct w:val="0"/>
              <w:autoSpaceDE/>
              <w:autoSpaceDN/>
              <w:bidi w:val="0"/>
              <w:adjustRightInd/>
              <w:snapToGrid w:val="0"/>
              <w:spacing w:line="400" w:lineRule="exact"/>
              <w:ind w:firstLine="420" w:firstLineChars="200"/>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响应文件正、副本、电子文档数量符合比选文件要求。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14816"/>
      <w:bookmarkStart w:id="53"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pageBreakBefore w:val="0"/>
        <w:widowControl w:val="0"/>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pageBreakBefore w:val="0"/>
        <w:widowControl w:val="0"/>
        <w:kinsoku/>
        <w:wordWrap/>
        <w:overflowPunct/>
        <w:topLinePunct w:val="0"/>
        <w:autoSpaceDE/>
        <w:autoSpaceDN/>
        <w:bidi w:val="0"/>
        <w:adjustRightInd/>
        <w:snapToGrid w:val="0"/>
        <w:spacing w:line="400" w:lineRule="exact"/>
        <w:ind w:firstLine="402" w:firstLineChars="167"/>
        <w:textAlignment w:val="auto"/>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pageBreakBefore w:val="0"/>
        <w:widowControl w:val="0"/>
        <w:kinsoku/>
        <w:wordWrap/>
        <w:overflowPunct/>
        <w:topLinePunct w:val="0"/>
        <w:autoSpaceDE/>
        <w:autoSpaceDN/>
        <w:bidi w:val="0"/>
        <w:adjustRightInd/>
        <w:snapToGrid w:val="0"/>
        <w:spacing w:line="400" w:lineRule="exact"/>
        <w:ind w:firstLine="360" w:firstLineChars="15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pageBreakBefore w:val="0"/>
        <w:widowControl w:val="0"/>
        <w:kinsoku/>
        <w:wordWrap/>
        <w:overflowPunct/>
        <w:topLinePunct w:val="0"/>
        <w:autoSpaceDE/>
        <w:autoSpaceDN/>
        <w:bidi w:val="0"/>
        <w:adjustRightInd/>
        <w:snapToGrid w:val="0"/>
        <w:spacing w:line="400" w:lineRule="exact"/>
        <w:ind w:firstLine="360" w:firstLineChars="15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pageBreakBefore w:val="0"/>
        <w:widowControl w:val="0"/>
        <w:kinsoku/>
        <w:wordWrap/>
        <w:overflowPunct/>
        <w:topLinePunct w:val="0"/>
        <w:autoSpaceDE/>
        <w:autoSpaceDN/>
        <w:bidi w:val="0"/>
        <w:adjustRightInd/>
        <w:snapToGrid w:val="0"/>
        <w:spacing w:line="400" w:lineRule="exact"/>
        <w:ind w:firstLine="360" w:firstLineChars="15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pageBreakBefore w:val="0"/>
        <w:widowControl w:val="0"/>
        <w:kinsoku/>
        <w:wordWrap/>
        <w:overflowPunct/>
        <w:topLinePunct w:val="0"/>
        <w:autoSpaceDE/>
        <w:autoSpaceDN/>
        <w:bidi w:val="0"/>
        <w:adjustRightInd/>
        <w:snapToGrid w:val="0"/>
        <w:spacing w:line="400" w:lineRule="exact"/>
        <w:ind w:firstLine="360" w:firstLineChars="15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pageBreakBefore w:val="0"/>
        <w:widowControl w:val="0"/>
        <w:kinsoku/>
        <w:wordWrap/>
        <w:overflowPunct/>
        <w:topLinePunct w:val="0"/>
        <w:autoSpaceDE/>
        <w:autoSpaceDN/>
        <w:bidi w:val="0"/>
        <w:adjustRightInd/>
        <w:snapToGrid w:val="0"/>
        <w:spacing w:line="400" w:lineRule="exact"/>
        <w:ind w:firstLine="360" w:firstLineChars="15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7135"/>
      <w:bookmarkStart w:id="55" w:name="_Toc403569783"/>
      <w:bookmarkStart w:id="56" w:name="_Toc342913395"/>
      <w:bookmarkStart w:id="57" w:name="_Toc102227321"/>
      <w:bookmarkStart w:id="58" w:name="_Toc3212"/>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403569785"/>
      <w:bookmarkStart w:id="64" w:name="_Toc6381"/>
      <w:bookmarkStart w:id="65" w:name="_Toc342913396"/>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0F044EF9">
      <w:pPr>
        <w:pStyle w:val="5"/>
        <w:pageBreakBefore w:val="0"/>
        <w:widowControl w:val="0"/>
        <w:kinsoku/>
        <w:wordWrap/>
        <w:overflowPunct/>
        <w:topLinePunct w:val="0"/>
        <w:autoSpaceDE/>
        <w:autoSpaceDN/>
        <w:bidi w:val="0"/>
        <w:adjustRightInd/>
        <w:spacing w:line="400" w:lineRule="exact"/>
        <w:textAlignment w:val="auto"/>
        <w:outlineLvl w:val="9"/>
        <w:rPr>
          <w:rFonts w:hint="default" w:ascii="宋体" w:hAnsi="宋体" w:eastAsia="宋体" w:cs="宋体"/>
          <w:color w:val="000000" w:themeColor="text1"/>
          <w:sz w:val="24"/>
          <w:szCs w:val="24"/>
          <w:shd w:val="clear" w:color="auto" w:fill="auto"/>
          <w:lang w:eastAsia="zh-CN"/>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 xml:space="preserve">代理服务费 </w:t>
      </w:r>
    </w:p>
    <w:p w14:paraId="4E7AA81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代理服务费</w:t>
      </w:r>
      <w:r>
        <w:rPr>
          <w:rFonts w:hint="eastAsia" w:ascii="宋体" w:hAnsi="宋体" w:eastAsia="宋体" w:cs="宋体"/>
          <w:color w:val="000000" w:themeColor="text1"/>
          <w:sz w:val="24"/>
          <w:szCs w:val="24"/>
          <w:highlight w:val="none"/>
          <w14:textFill>
            <w14:solidFill>
              <w14:schemeClr w14:val="tx1"/>
            </w14:solidFill>
          </w14:textFill>
        </w:rPr>
        <w:t>按照</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以下</w:t>
      </w:r>
      <w:r>
        <w:rPr>
          <w:rFonts w:hint="eastAsia" w:ascii="宋体" w:hAnsi="宋体" w:eastAsia="宋体" w:cs="宋体"/>
          <w:color w:val="000000" w:themeColor="text1"/>
          <w:sz w:val="24"/>
          <w:szCs w:val="24"/>
          <w:highlight w:val="none"/>
          <w14:textFill>
            <w14:solidFill>
              <w14:schemeClr w14:val="tx1"/>
            </w14:solidFill>
          </w14:textFill>
        </w:rPr>
        <w:t>对应</w:t>
      </w:r>
      <w:r>
        <w:rPr>
          <w:rFonts w:hint="eastAsia" w:ascii="宋体" w:hAnsi="宋体" w:eastAsia="宋体" w:cs="宋体"/>
          <w:color w:val="000000" w:themeColor="text1"/>
          <w:sz w:val="24"/>
          <w:szCs w:val="24"/>
          <w:highlight w:val="none"/>
          <w:lang w:eastAsia="zh-CN"/>
          <w14:textFill>
            <w14:solidFill>
              <w14:schemeClr w14:val="tx1"/>
            </w14:solidFill>
          </w14:textFill>
        </w:rPr>
        <w:t>收取</w:t>
      </w:r>
      <w:r>
        <w:rPr>
          <w:rFonts w:hint="eastAsia" w:ascii="宋体" w:hAnsi="宋体" w:eastAsia="宋体" w:cs="宋体"/>
          <w:color w:val="000000" w:themeColor="text1"/>
          <w:sz w:val="24"/>
          <w:szCs w:val="24"/>
          <w:highlight w:val="none"/>
          <w14:textFill>
            <w14:solidFill>
              <w14:schemeClr w14:val="tx1"/>
            </w14:solidFill>
          </w14:textFill>
        </w:rPr>
        <w:t>标准下浮</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40</w:t>
      </w:r>
      <w:r>
        <w:rPr>
          <w:rFonts w:hint="eastAsia" w:ascii="宋体" w:hAnsi="宋体" w:eastAsia="宋体" w:cs="宋体"/>
          <w:b/>
          <w:bCs/>
          <w:color w:val="000000" w:themeColor="text1"/>
          <w:sz w:val="24"/>
          <w:szCs w:val="24"/>
          <w:highlight w:val="none"/>
          <w:u w:val="single"/>
          <w14:textFill>
            <w14:solidFill>
              <w14:schemeClr w14:val="tx1"/>
            </w14:solidFill>
          </w14:textFill>
        </w:rPr>
        <w:t>%</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执行</w:t>
      </w:r>
      <w:r>
        <w:rPr>
          <w:rFonts w:hint="eastAsia" w:ascii="宋体" w:hAnsi="宋体" w:eastAsia="宋体" w:cs="宋体"/>
          <w:color w:val="000000" w:themeColor="text1"/>
          <w:sz w:val="24"/>
          <w:szCs w:val="24"/>
          <w:highlight w:val="none"/>
          <w:lang w:val="en-US" w:eastAsia="zh-CN"/>
          <w14:textFill>
            <w14:solidFill>
              <w14:schemeClr w14:val="tx1"/>
            </w14:solidFill>
          </w14:textFill>
        </w:rPr>
        <w:t>，以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中标（成交）价</w:t>
      </w:r>
      <w:r>
        <w:rPr>
          <w:rFonts w:hint="eastAsia" w:ascii="宋体" w:hAnsi="宋体" w:eastAsia="宋体" w:cs="宋体"/>
          <w:color w:val="000000" w:themeColor="text1"/>
          <w:sz w:val="24"/>
          <w:szCs w:val="24"/>
          <w:highlight w:val="none"/>
          <w:lang w:val="en-US" w:eastAsia="zh-CN"/>
          <w14:textFill>
            <w14:solidFill>
              <w14:schemeClr w14:val="tx1"/>
            </w14:solidFill>
          </w14:textFill>
        </w:rPr>
        <w:t>为计费基数，采用差额定率累进法并结合代理服务费下浮率进行计算，</w:t>
      </w:r>
      <w:r>
        <w:rPr>
          <w:rFonts w:hint="eastAsia" w:ascii="宋体" w:hAnsi="宋体" w:eastAsia="宋体" w:cs="宋体"/>
          <w:color w:val="000000" w:themeColor="text1"/>
          <w:sz w:val="24"/>
          <w:szCs w:val="24"/>
          <w:highlight w:val="none"/>
          <w14:textFill>
            <w14:solidFill>
              <w14:schemeClr w14:val="tx1"/>
            </w14:solidFill>
          </w14:textFill>
        </w:rPr>
        <w:t>由中标人（成交供应商）领取中标（成交）通知书时一次性支付给</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招标代理公司</w:t>
      </w:r>
      <w:r>
        <w:rPr>
          <w:rFonts w:hint="eastAsia" w:ascii="宋体" w:hAnsi="宋体" w:eastAsia="宋体" w:cs="宋体"/>
          <w:color w:val="000000" w:themeColor="text1"/>
          <w:sz w:val="24"/>
          <w:szCs w:val="24"/>
          <w:highlight w:val="none"/>
          <w14:textFill>
            <w14:solidFill>
              <w14:schemeClr w14:val="tx1"/>
            </w14:solidFill>
          </w14:textFill>
        </w:rPr>
        <w:t>。</w:t>
      </w:r>
    </w:p>
    <w:p w14:paraId="489B982A">
      <w:pPr>
        <w:pageBreakBefore w:val="0"/>
        <w:widowControl w:val="0"/>
        <w:kinsoku/>
        <w:wordWrap/>
        <w:overflowPunct/>
        <w:topLinePunct w:val="0"/>
        <w:autoSpaceDE/>
        <w:autoSpaceDN/>
        <w:bidi w:val="0"/>
        <w:adjustRightInd/>
        <w:snapToGrid w:val="0"/>
        <w:spacing w:line="400" w:lineRule="exact"/>
        <w:ind w:firstLine="482" w:firstLineChars="20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采购代理服务收取标准</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6"/>
        <w:gridCol w:w="2310"/>
        <w:gridCol w:w="2430"/>
        <w:gridCol w:w="2307"/>
      </w:tblGrid>
      <w:tr w14:paraId="3813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2150" w:type="dxa"/>
            <w:noWrap w:val="0"/>
            <w:vAlign w:val="top"/>
          </w:tcPr>
          <w:p w14:paraId="47FDB66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-5080</wp:posOffset>
                      </wp:positionV>
                      <wp:extent cx="1423670" cy="1239520"/>
                      <wp:effectExtent l="3175" t="3810" r="20955" b="13970"/>
                      <wp:wrapNone/>
                      <wp:docPr id="8" name="直接箭头连接符 8"/>
                      <wp:cNvGraphicFramePr/>
                      <a:graphic xmlns:a="http://schemas.openxmlformats.org/drawingml/2006/main">
                        <a:graphicData uri="http://schemas.microsoft.com/office/word/2010/wordprocessingShape">
                          <wps:wsp>
                            <wps:cNvCnPr/>
                            <wps:spPr>
                              <a:xfrm>
                                <a:off x="0" y="0"/>
                                <a:ext cx="1423670" cy="123952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9pt;margin-top:-0.4pt;height:97.6pt;width:112.1pt;z-index:251660288;mso-width-relative:page;mso-height-relative:page;" filled="f" stroked="t" coordsize="21600,21600" o:gfxdata="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ySoEHXAAAACAEAAA8AAAAAAAAAAQAgAAAAIgAA&#10;AGRycy9kb3ducmV2LnhtbFBLAQIUABQAAAAIAIdO4kDZlqvBCQIAAPwDAAAOAAAAAAAAAAEAIAAA&#10;ACYBAABkcnMvZTJvRG9jLnhtbFBLBQYAAAAABgAGAFkBAAChBQAAAAA=&#10;">
                      <v:fill on="f" focussize="0,0"/>
                      <v:stroke color="#000000" joinstyle="round"/>
                      <v:imagedata o:title=""/>
                      <o:lock v:ext="edit" aspectratio="f"/>
                    </v:shape>
                  </w:pict>
                </mc:Fallback>
              </mc:AlternateConten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服务类型</w:t>
            </w:r>
          </w:p>
          <w:p w14:paraId="00D20FD9">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283845</wp:posOffset>
                      </wp:positionV>
                      <wp:extent cx="1543685" cy="744220"/>
                      <wp:effectExtent l="1905" t="4445" r="16510" b="13335"/>
                      <wp:wrapNone/>
                      <wp:docPr id="9" name="直接箭头连接符 9"/>
                      <wp:cNvGraphicFramePr/>
                      <a:graphic xmlns:a="http://schemas.openxmlformats.org/drawingml/2006/main">
                        <a:graphicData uri="http://schemas.microsoft.com/office/word/2010/wordprocessingShape">
                          <wps:wsp>
                            <wps:cNvCnPr/>
                            <wps:spPr>
                              <a:xfrm>
                                <a:off x="0" y="0"/>
                                <a:ext cx="1543685" cy="74422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6.75pt;margin-top:22.35pt;height:58.6pt;width:121.55pt;z-index:251659264;mso-width-relative:page;mso-height-relative:page;" filled="f" stroked="t" coordsize="21600,21600" o:gfxdata="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0nvLE2QAAAAoBAAAPAAAAAAAAAAEAIAAAACIA&#10;AABkcnMvZG93bnJldi54bWxQSwECFAAUAAAACACHTuJAGrUcCwgCAAD7AwAADgAAAAAAAAABACAA&#10;AAAoAQAAZHJzL2Uyb0RvYy54bWxQSwUGAAAAAAYABgBZAQAAogUAAAAA&#10;">
                      <v:fill on="f" focussize="0,0"/>
                      <v:stroke color="#000000" joinstyle="round"/>
                      <v:imagedata o:title=""/>
                      <o:lock v:ext="edit" aspectratio="f"/>
                    </v:shape>
                  </w:pict>
                </mc:Fallback>
              </mc:AlternateContent>
            </w:r>
          </w:p>
          <w:p w14:paraId="78019C66">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费率</w:t>
            </w:r>
          </w:p>
          <w:p w14:paraId="5A4D63D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6030FD0">
            <w:pPr>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67" w:name="_Toc3648"/>
            <w:bookmarkStart w:id="68" w:name="_Toc29912"/>
            <w:bookmarkStart w:id="69" w:name="_Toc795"/>
            <w:bookmarkStart w:id="70" w:name="_Toc19572"/>
            <w:r>
              <w:rPr>
                <w:rFonts w:hint="eastAsia" w:ascii="宋体" w:hAnsi="宋体" w:eastAsia="宋体" w:cs="宋体"/>
                <w:color w:val="000000" w:themeColor="text1"/>
                <w:sz w:val="24"/>
                <w:szCs w:val="24"/>
                <w:highlight w:val="none"/>
                <w:lang w:val="en-US" w:eastAsia="zh-CN"/>
                <w14:textFill>
                  <w14:solidFill>
                    <w14:schemeClr w14:val="tx1"/>
                  </w14:solidFill>
                </w14:textFill>
              </w:rPr>
              <w:t>计费基数（万元）</w:t>
            </w:r>
            <w:bookmarkEnd w:id="67"/>
            <w:bookmarkEnd w:id="68"/>
            <w:bookmarkEnd w:id="69"/>
            <w:bookmarkEnd w:id="70"/>
          </w:p>
        </w:tc>
        <w:tc>
          <w:tcPr>
            <w:tcW w:w="2310" w:type="dxa"/>
            <w:noWrap w:val="0"/>
            <w:vAlign w:val="center"/>
          </w:tcPr>
          <w:p w14:paraId="45FE1276">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货物招标</w:t>
            </w:r>
          </w:p>
        </w:tc>
        <w:tc>
          <w:tcPr>
            <w:tcW w:w="2430" w:type="dxa"/>
            <w:noWrap w:val="0"/>
            <w:vAlign w:val="center"/>
          </w:tcPr>
          <w:p w14:paraId="4D847B9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p>
        </w:tc>
        <w:tc>
          <w:tcPr>
            <w:tcW w:w="2307" w:type="dxa"/>
            <w:noWrap w:val="0"/>
            <w:vAlign w:val="center"/>
          </w:tcPr>
          <w:p w14:paraId="5A0CA0E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w:t>
            </w:r>
            <w:r>
              <w:rPr>
                <w:rFonts w:hint="eastAsia" w:ascii="宋体" w:hAnsi="宋体" w:eastAsia="宋体" w:cs="宋体"/>
                <w:color w:val="000000" w:themeColor="text1"/>
                <w:sz w:val="24"/>
                <w:szCs w:val="24"/>
                <w:highlight w:val="none"/>
                <w:lang w:val="en-US" w:eastAsia="zh-CN"/>
                <w14:textFill>
                  <w14:solidFill>
                    <w14:schemeClr w14:val="tx1"/>
                  </w14:solidFill>
                </w14:textFill>
              </w:rPr>
              <w:t>招标</w:t>
            </w:r>
          </w:p>
        </w:tc>
      </w:tr>
      <w:tr w14:paraId="72D6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A72695E">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100以下</w:t>
            </w:r>
          </w:p>
        </w:tc>
        <w:tc>
          <w:tcPr>
            <w:tcW w:w="2310" w:type="dxa"/>
            <w:noWrap w:val="0"/>
            <w:vAlign w:val="center"/>
          </w:tcPr>
          <w:p w14:paraId="6033851E">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2430" w:type="dxa"/>
            <w:noWrap w:val="0"/>
            <w:vAlign w:val="center"/>
          </w:tcPr>
          <w:p w14:paraId="78C464E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1.5%</w:t>
            </w:r>
          </w:p>
        </w:tc>
        <w:tc>
          <w:tcPr>
            <w:tcW w:w="2307" w:type="dxa"/>
            <w:noWrap w:val="0"/>
            <w:vAlign w:val="center"/>
          </w:tcPr>
          <w:p w14:paraId="2300235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r>
      <w:tr w14:paraId="78A6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0BBB90B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100-500</w:t>
            </w:r>
          </w:p>
        </w:tc>
        <w:tc>
          <w:tcPr>
            <w:tcW w:w="2310" w:type="dxa"/>
            <w:noWrap w:val="0"/>
            <w:vAlign w:val="center"/>
          </w:tcPr>
          <w:p w14:paraId="3FC116F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2430" w:type="dxa"/>
            <w:noWrap w:val="0"/>
            <w:vAlign w:val="center"/>
          </w:tcPr>
          <w:p w14:paraId="03DDF32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0.8%</w:t>
            </w:r>
          </w:p>
        </w:tc>
        <w:tc>
          <w:tcPr>
            <w:tcW w:w="2307" w:type="dxa"/>
            <w:noWrap w:val="0"/>
            <w:vAlign w:val="center"/>
          </w:tcPr>
          <w:p w14:paraId="6C22FD8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0.7%</w:t>
            </w:r>
          </w:p>
        </w:tc>
      </w:tr>
      <w:tr w14:paraId="082B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C0E8DD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500-1000</w:t>
            </w:r>
          </w:p>
        </w:tc>
        <w:tc>
          <w:tcPr>
            <w:tcW w:w="2310" w:type="dxa"/>
            <w:noWrap w:val="0"/>
            <w:vAlign w:val="center"/>
          </w:tcPr>
          <w:p w14:paraId="176539C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0.8%</w:t>
            </w:r>
          </w:p>
        </w:tc>
        <w:tc>
          <w:tcPr>
            <w:tcW w:w="2430" w:type="dxa"/>
            <w:noWrap w:val="0"/>
            <w:vAlign w:val="center"/>
          </w:tcPr>
          <w:p w14:paraId="6457342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0.45%</w:t>
            </w:r>
          </w:p>
        </w:tc>
        <w:tc>
          <w:tcPr>
            <w:tcW w:w="2307" w:type="dxa"/>
            <w:noWrap w:val="0"/>
            <w:vAlign w:val="center"/>
          </w:tcPr>
          <w:p w14:paraId="2D55684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0.55%</w:t>
            </w:r>
          </w:p>
        </w:tc>
      </w:tr>
      <w:tr w14:paraId="2CA5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5152ACB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1000-5000</w:t>
            </w:r>
          </w:p>
        </w:tc>
        <w:tc>
          <w:tcPr>
            <w:tcW w:w="2310" w:type="dxa"/>
            <w:noWrap w:val="0"/>
            <w:vAlign w:val="center"/>
          </w:tcPr>
          <w:p w14:paraId="14C4DE1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0.5%</w:t>
            </w:r>
          </w:p>
        </w:tc>
        <w:tc>
          <w:tcPr>
            <w:tcW w:w="2430" w:type="dxa"/>
            <w:noWrap w:val="0"/>
            <w:vAlign w:val="center"/>
          </w:tcPr>
          <w:p w14:paraId="6E59AFC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0.25%</w:t>
            </w:r>
          </w:p>
        </w:tc>
        <w:tc>
          <w:tcPr>
            <w:tcW w:w="2307" w:type="dxa"/>
            <w:noWrap w:val="0"/>
            <w:vAlign w:val="center"/>
          </w:tcPr>
          <w:p w14:paraId="2E31913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0.35%</w:t>
            </w:r>
          </w:p>
        </w:tc>
      </w:tr>
      <w:tr w14:paraId="05CE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775DBE4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5000-10000</w:t>
            </w:r>
          </w:p>
        </w:tc>
        <w:tc>
          <w:tcPr>
            <w:tcW w:w="2310" w:type="dxa"/>
            <w:noWrap w:val="0"/>
            <w:vAlign w:val="center"/>
          </w:tcPr>
          <w:p w14:paraId="5465A87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0.25%</w:t>
            </w:r>
          </w:p>
        </w:tc>
        <w:tc>
          <w:tcPr>
            <w:tcW w:w="2430" w:type="dxa"/>
            <w:noWrap w:val="0"/>
            <w:vAlign w:val="center"/>
          </w:tcPr>
          <w:p w14:paraId="507A748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0.1%</w:t>
            </w:r>
          </w:p>
        </w:tc>
        <w:tc>
          <w:tcPr>
            <w:tcW w:w="2307" w:type="dxa"/>
            <w:noWrap w:val="0"/>
            <w:vAlign w:val="center"/>
          </w:tcPr>
          <w:p w14:paraId="2367126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0.2%</w:t>
            </w:r>
          </w:p>
        </w:tc>
      </w:tr>
      <w:tr w14:paraId="160B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013EEF9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10000-50000</w:t>
            </w:r>
          </w:p>
        </w:tc>
        <w:tc>
          <w:tcPr>
            <w:tcW w:w="2310" w:type="dxa"/>
            <w:noWrap w:val="0"/>
            <w:vAlign w:val="center"/>
          </w:tcPr>
          <w:p w14:paraId="2157BDC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0.05%</w:t>
            </w:r>
          </w:p>
        </w:tc>
        <w:tc>
          <w:tcPr>
            <w:tcW w:w="2430" w:type="dxa"/>
            <w:noWrap w:val="0"/>
            <w:vAlign w:val="center"/>
          </w:tcPr>
          <w:p w14:paraId="7625A00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0.05%</w:t>
            </w:r>
          </w:p>
        </w:tc>
        <w:tc>
          <w:tcPr>
            <w:tcW w:w="2307" w:type="dxa"/>
            <w:noWrap w:val="0"/>
            <w:vAlign w:val="center"/>
          </w:tcPr>
          <w:p w14:paraId="58112EE6">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0.05%</w:t>
            </w:r>
          </w:p>
        </w:tc>
      </w:tr>
      <w:tr w14:paraId="2BE9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6FFD95E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50000-100000</w:t>
            </w:r>
          </w:p>
        </w:tc>
        <w:tc>
          <w:tcPr>
            <w:tcW w:w="2310" w:type="dxa"/>
            <w:noWrap w:val="0"/>
            <w:vAlign w:val="center"/>
          </w:tcPr>
          <w:p w14:paraId="396B863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0.035%</w:t>
            </w:r>
          </w:p>
        </w:tc>
        <w:tc>
          <w:tcPr>
            <w:tcW w:w="2430" w:type="dxa"/>
            <w:noWrap w:val="0"/>
            <w:vAlign w:val="center"/>
          </w:tcPr>
          <w:p w14:paraId="4D6153B6">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0.035%</w:t>
            </w:r>
          </w:p>
        </w:tc>
        <w:tc>
          <w:tcPr>
            <w:tcW w:w="2307" w:type="dxa"/>
            <w:noWrap w:val="0"/>
            <w:vAlign w:val="center"/>
          </w:tcPr>
          <w:p w14:paraId="344B3EB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0.035%</w:t>
            </w:r>
          </w:p>
        </w:tc>
      </w:tr>
      <w:tr w14:paraId="2F05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A0EDD3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100000-500000</w:t>
            </w:r>
          </w:p>
        </w:tc>
        <w:tc>
          <w:tcPr>
            <w:tcW w:w="2310" w:type="dxa"/>
            <w:noWrap w:val="0"/>
            <w:vAlign w:val="center"/>
          </w:tcPr>
          <w:p w14:paraId="78AC452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0.008%</w:t>
            </w:r>
          </w:p>
        </w:tc>
        <w:tc>
          <w:tcPr>
            <w:tcW w:w="2430" w:type="dxa"/>
            <w:noWrap w:val="0"/>
            <w:vAlign w:val="center"/>
          </w:tcPr>
          <w:p w14:paraId="08CF378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0.008%</w:t>
            </w:r>
          </w:p>
        </w:tc>
        <w:tc>
          <w:tcPr>
            <w:tcW w:w="2307" w:type="dxa"/>
            <w:noWrap w:val="0"/>
            <w:vAlign w:val="center"/>
          </w:tcPr>
          <w:p w14:paraId="51F3F33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0.008%</w:t>
            </w:r>
          </w:p>
        </w:tc>
      </w:tr>
      <w:tr w14:paraId="4880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6A41DE3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500000-1000000</w:t>
            </w:r>
          </w:p>
        </w:tc>
        <w:tc>
          <w:tcPr>
            <w:tcW w:w="2310" w:type="dxa"/>
            <w:noWrap w:val="0"/>
            <w:vAlign w:val="center"/>
          </w:tcPr>
          <w:p w14:paraId="6034D4F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0.006%</w:t>
            </w:r>
          </w:p>
        </w:tc>
        <w:tc>
          <w:tcPr>
            <w:tcW w:w="2430" w:type="dxa"/>
            <w:noWrap w:val="0"/>
            <w:vAlign w:val="center"/>
          </w:tcPr>
          <w:p w14:paraId="168563F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0.006%</w:t>
            </w:r>
          </w:p>
        </w:tc>
        <w:tc>
          <w:tcPr>
            <w:tcW w:w="2307" w:type="dxa"/>
            <w:noWrap w:val="0"/>
            <w:vAlign w:val="center"/>
          </w:tcPr>
          <w:p w14:paraId="6BBF2C4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0.006%</w:t>
            </w:r>
          </w:p>
        </w:tc>
      </w:tr>
      <w:tr w14:paraId="2039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E3CA26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1000000以上</w:t>
            </w:r>
          </w:p>
        </w:tc>
        <w:tc>
          <w:tcPr>
            <w:tcW w:w="2310" w:type="dxa"/>
            <w:noWrap w:val="0"/>
            <w:vAlign w:val="center"/>
          </w:tcPr>
          <w:p w14:paraId="7920CD1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0.004%</w:t>
            </w:r>
          </w:p>
        </w:tc>
        <w:tc>
          <w:tcPr>
            <w:tcW w:w="2430" w:type="dxa"/>
            <w:noWrap w:val="0"/>
            <w:vAlign w:val="center"/>
          </w:tcPr>
          <w:p w14:paraId="20200CC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0.004%</w:t>
            </w:r>
          </w:p>
        </w:tc>
        <w:tc>
          <w:tcPr>
            <w:tcW w:w="2307" w:type="dxa"/>
            <w:noWrap w:val="0"/>
            <w:vAlign w:val="center"/>
          </w:tcPr>
          <w:p w14:paraId="75085C2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0.004%</w:t>
            </w:r>
          </w:p>
        </w:tc>
      </w:tr>
    </w:tbl>
    <w:p w14:paraId="496CF9AD">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DB0EA24">
      <w:pPr>
        <w:pStyle w:val="4"/>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1" w:name="_Toc485108784"/>
      <w:bookmarkStart w:id="72" w:name="_Toc7206"/>
      <w:bookmarkStart w:id="73" w:name="_Toc26684"/>
      <w:bookmarkStart w:id="74" w:name="_Toc11770"/>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71"/>
      <w:bookmarkEnd w:id="72"/>
      <w:bookmarkEnd w:id="73"/>
      <w:bookmarkEnd w:id="74"/>
    </w:p>
    <w:p w14:paraId="53EC4B13">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75" w:name="_Toc12789058"/>
      <w:bookmarkStart w:id="76" w:name="_Toc485108787"/>
      <w:bookmarkStart w:id="77"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项目概况</w:t>
      </w:r>
    </w:p>
    <w:p w14:paraId="286826B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bookmarkStart w:id="78" w:name="OLE_LINK2"/>
      <w:r>
        <w:rPr>
          <w:rFonts w:hint="eastAsia" w:ascii="宋体" w:hAnsi="宋体" w:eastAsia="宋体" w:cs="宋体"/>
          <w:color w:val="FF0000"/>
          <w:sz w:val="24"/>
          <w:szCs w:val="24"/>
          <w:shd w:val="clear" w:color="auto" w:fill="auto"/>
          <w:lang w:val="en-US" w:eastAsia="zh-CN"/>
        </w:rPr>
        <w:t>重庆医科大学附属永川医院兴龙湖院区辅助用房工程位于永川区兴龙大道D-1地块，根据医院使用需要，现拟利用原规划的值班楼区域修建1栋一层辅助用房，建筑面积约688㎡，建筑高度3.90m，框架结构。（值班楼区域原规划为地上26层、地下2层，现状为地下部分已建成，地上部分预留了一层墙、柱钢筋，并用C20混凝土保护（高度约2m），其他概况详见施工图）</w:t>
      </w:r>
    </w:p>
    <w:p w14:paraId="6BA4FDB2">
      <w:pPr>
        <w:pStyle w:val="5"/>
        <w:pageBreakBefore w:val="0"/>
        <w:widowControl w:val="0"/>
        <w:kinsoku/>
        <w:wordWrap/>
        <w:overflowPunct/>
        <w:topLinePunct w:val="0"/>
        <w:autoSpaceDE/>
        <w:autoSpaceDN/>
        <w:bidi w:val="0"/>
        <w:adjustRightInd/>
        <w:spacing w:line="400" w:lineRule="exact"/>
        <w:textAlignment w:val="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二、技术要求及标准</w:t>
      </w:r>
    </w:p>
    <w:p w14:paraId="72DED76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（一）工程概况</w:t>
      </w:r>
    </w:p>
    <w:p w14:paraId="1ACAB0F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1.工程名称：重医附属永川医院兴龙湖院区辅助用房建设工程；</w:t>
      </w:r>
    </w:p>
    <w:p w14:paraId="265B706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2.工程地点：重庆永川区重医附属永川医院兴龙湖院区；</w:t>
      </w:r>
    </w:p>
    <w:p w14:paraId="741D347E">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3.建设单位：重庆永川区重医附属永川医院；</w:t>
      </w:r>
    </w:p>
    <w:p w14:paraId="20AAB5C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4.采购范围：</w:t>
      </w:r>
      <w:r>
        <w:rPr>
          <w:rFonts w:hint="eastAsia" w:ascii="宋体" w:hAnsi="宋体" w:eastAsia="宋体" w:cs="宋体"/>
          <w:color w:val="FF0000"/>
          <w:sz w:val="24"/>
          <w:szCs w:val="24"/>
          <w:shd w:val="clear" w:color="auto" w:fill="auto"/>
          <w:lang w:val="en-US" w:eastAsia="zh-CN"/>
        </w:rPr>
        <w:t>包括完成招标范围内的结构、建筑、装饰、给排水、电气、智能化工程等。具体包含采购人提供的施工图纸范围内的全部内容、采购人发布的工程量清单、设计交底、采购文件、补遗资料、答疑资料、澄清资料及采购人要求实施的其他相关事项。</w:t>
      </w:r>
    </w:p>
    <w:p w14:paraId="0B802CAA">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（二）供应商投入本项目团队须具备：</w:t>
      </w:r>
    </w:p>
    <w:p w14:paraId="56703DB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1、项目经理：</w:t>
      </w:r>
    </w:p>
    <w:p w14:paraId="3D973C5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供应商须派1名项目经理作为现场代表，负责合同履行及现场协调管理。项目经理必须到本项目驻场履职，中途不得更换。如因特殊情况确需更换，供应商须在十五天前征询采购人同意，替换的项目经理须具备同等资格条件。供应商拟派的项目经理必须在供应商本单位注册，并具有建筑工程二级及以上注册建造师执业资格，具备建设行政主管部门颁发的安全生产考核合格证书。</w:t>
      </w:r>
    </w:p>
    <w:p w14:paraId="09F100F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需提供以下证明材料：</w:t>
      </w:r>
    </w:p>
    <w:p w14:paraId="2607639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(1)提供拟派项目经理身份证复印件（正反须复印在同一页）并加盖供应商公章；</w:t>
      </w:r>
    </w:p>
    <w:p w14:paraId="2D06E7F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(2)提供二级注册建造师证书复印件并加盖供应商公章；</w:t>
      </w:r>
    </w:p>
    <w:p w14:paraId="6B76E9E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(3)提供在本单位2026年1月至响应截止时间缴纳的养老保险证明复印件并加盖供应商公章；</w:t>
      </w:r>
    </w:p>
    <w:p w14:paraId="672AE41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(4)投标单位书面声明拟派项目经理未在其他在建项目任职并加盖供应商公章。</w:t>
      </w:r>
    </w:p>
    <w:p w14:paraId="5DAF000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2、项目技术负责人：</w:t>
      </w:r>
    </w:p>
    <w:p w14:paraId="50F2FEF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拟派的项目技术负责人为本单位员工，具有建筑工程类中级及以上技术职称。</w:t>
      </w:r>
    </w:p>
    <w:p w14:paraId="2E00665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需提供以下证明材料：</w:t>
      </w:r>
    </w:p>
    <w:p w14:paraId="34BB882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①提供拟派技术负责人身份证复印件（正反须复印在同一页）并加盖供应商公章；</w:t>
      </w:r>
    </w:p>
    <w:p w14:paraId="2EAA9A52">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②提供职称证复印件并加盖供应商公章；</w:t>
      </w:r>
    </w:p>
    <w:p w14:paraId="2C2F200E">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③提供在本单位2026年1月至响应截止时间缴纳的养老保险证明复印件并加盖供应商公章。</w:t>
      </w:r>
    </w:p>
    <w:p w14:paraId="3AE6813F">
      <w:pPr>
        <w:keepNext w:val="0"/>
        <w:keepLines w:val="0"/>
        <w:pageBreakBefore w:val="0"/>
        <w:widowControl w:val="0"/>
        <w:numPr>
          <w:ilvl w:val="0"/>
          <w:numId w:val="14"/>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特种作业人员：</w:t>
      </w:r>
    </w:p>
    <w:p w14:paraId="50082D9B">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本项目若涉及特种作业，特种作业人员须持有建设主管部门颁发的相应专业特种作业证书，合同签订后提交采购人备案，非特殊原因不得更换，确需更换的需提前7天征询采购人同意（该项不作为资格条件）。</w:t>
      </w:r>
    </w:p>
    <w:p w14:paraId="126077C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（三）供应商业绩要求：</w:t>
      </w:r>
    </w:p>
    <w:p w14:paraId="7FF7530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供应商在2023年1月1日起至响应截止日止（以竣工时间为准）完成1个类似项目业绩。供应商须提供该业绩的“四库一平台”截图（有竣工验收信息），如不能提供“四库一平台”截图，则须提供合同+竣工验收证明材料+关键付款节点发票（首付款、结算款）复印件。</w:t>
      </w:r>
    </w:p>
    <w:p w14:paraId="0986C01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（四）质量要求</w:t>
      </w:r>
    </w:p>
    <w:p w14:paraId="389F3C0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符合强制性质量标准，符合国家和重庆市现行有关施工质量验收规范要求，并达到合格标准。非因采购人原因导致的质量缺陷，成交供应商应整改至合格标准，整改工作所需一切费用、时间和责任均由成交供应商自行承担，采购人不承担任何直接或间接责任。（供应商须自拟承诺）</w:t>
      </w:r>
    </w:p>
    <w:p w14:paraId="0CB5211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2、施工过程中应遵照现行国家有关规程规范进行施工，按照有关要求进行检查验收。成交供应商提供的所有施工设施设备和材料应有完善的质量检测手段和质量保证体系，必须符合国家标准和行业标准。</w:t>
      </w:r>
    </w:p>
    <w:p w14:paraId="4F7110A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（五）材料要求</w:t>
      </w:r>
    </w:p>
    <w:p w14:paraId="755F347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1、工程所用材料（设备）必须符合国家规范标准及设计文件、采购文件等要求。进场前须报采购人验收合格后方能投入使用。</w:t>
      </w:r>
    </w:p>
    <w:p w14:paraId="344ECB1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2、所供设备和材料必须货真价实，符合环保节能要求，并提供相应合格证明资料（出厂合格证、质量证明书、出厂检验报告等）、质保书等，各项手续、文件必须真实完整有效可查。</w:t>
      </w:r>
    </w:p>
    <w:p w14:paraId="47A67E4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严禁使用假冒伪劣产品，一经发现，该批次材料立即清退出场，并处该批次材料采购价两倍违约金，由成交供应商承担由此造成的一切损失。采购人有权进一步依据合同追究其违约责任（包括但不限于扣除履约保证金）。</w:t>
      </w:r>
    </w:p>
    <w:p w14:paraId="48D666D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（六）安全文明施工</w:t>
      </w:r>
    </w:p>
    <w:p w14:paraId="1B3983D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应遵守安全生产的有关管理规定，严格按照安全标准组织实施，建立安全生产体系，采取必要的安全防护措施，消除隐患。在施工过程中由于成交供应商管理或安全措施不力造成周边环境破坏或事故责任和因此发生的费用，由成交供应商承担。</w:t>
      </w:r>
    </w:p>
    <w:p w14:paraId="7333231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成交供应商负责进入现场实施人员及财物安全，发生任何伤亡事故与采购人无关，成交供应商自行解决并承担相应的法律责任和财产损失。如因施工导致第三人人身、财产损失由成交供应商承担全部赔偿责任。</w:t>
      </w:r>
    </w:p>
    <w:p w14:paraId="439CAB6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3、开工前须提交临时施工许可证申请，经相关部门审核通过并办理临时施工许可证后方可进行施工。为规范人员管理，施工期间，成交供应商工作人员须办理出入证明并加盖采购人公章生效使用。</w:t>
      </w:r>
    </w:p>
    <w:p w14:paraId="12D12E7C">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4、施工过程中，施工区域须始终保持完全封闭状态施工，除渣、运输等环节不得有粉尘污染。遇有重要接待、重要会议、重要活动时，须严格按照采购人要求暂停施工。</w:t>
      </w:r>
    </w:p>
    <w:p w14:paraId="0BA6737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5、供应商须做到安全文明施工，做好施工噪声及扬尘控制。施工噪音执行《建筑施工场界环境噪声排放标准》（GB 12523-2011），昼间≤70dB，夜间≤55dB。高噪音作业（如混凝土浇筑、切割等）应尽量安排在昼间进行，不得影响采购人正常办公或诊疗。</w:t>
      </w:r>
    </w:p>
    <w:p w14:paraId="442E1D20">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（七）</w:t>
      </w:r>
      <w:bookmarkEnd w:id="78"/>
      <w:r>
        <w:rPr>
          <w:rFonts w:hint="eastAsia" w:ascii="宋体" w:hAnsi="宋体" w:eastAsia="宋体" w:cs="宋体"/>
          <w:color w:val="FF0000"/>
          <w:sz w:val="24"/>
          <w:szCs w:val="24"/>
          <w:shd w:val="clear" w:color="auto" w:fill="auto"/>
          <w:lang w:val="en-US" w:eastAsia="zh-CN"/>
        </w:rPr>
        <w:t>工程保修</w:t>
      </w:r>
    </w:p>
    <w:p w14:paraId="692E19D4">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1、工程保修期按国家及相关规定、《建设工程质量管理条例》执行：</w:t>
      </w:r>
    </w:p>
    <w:p w14:paraId="1006010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基础设施工程、房屋建筑的地基基础工程和主体结构工程，为设计文件规定的该工程的合理使用年限；</w:t>
      </w:r>
    </w:p>
    <w:p w14:paraId="6920AC8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屋面防水工程、有防水要求的卫生间、房间和外墙面的防渗漏，为5年；</w:t>
      </w:r>
    </w:p>
    <w:p w14:paraId="38777D5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电气管线、给排水管道、设备安装和装修工程，为2年。</w:t>
      </w:r>
    </w:p>
    <w:p w14:paraId="309B356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工程保修期自工程竣工验收合格（以竣工验收报告签署日期为准）之日起计算。</w:t>
      </w:r>
    </w:p>
    <w:p w14:paraId="48252531">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2、工程保修期内，所有设施设备维护和施工质量缺陷维修均为现场服务，由此产生的费用均不再收取。</w:t>
      </w:r>
    </w:p>
    <w:p w14:paraId="4D34D573">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3、发生须紧急抢修的事故，成交供应商接到采购人通知后须在2小时内到达事故现场抢修；其他非紧急事故，成交供应商应在采购人通知24小时内到现场进行维修维护。</w:t>
      </w:r>
    </w:p>
    <w:p w14:paraId="08436FD7">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4、质量保证期内成交供应商未按时间要求对工程质量问题进行维修整改的，采购人有权从质量保证金中安排资金用于工程维修维护及赔偿，如有不足，将通过法律途径向成交供应商追偿。</w:t>
      </w:r>
    </w:p>
    <w:p w14:paraId="26BBA83D">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5、采购人所采购的货物若属于国家规定“三包”范围的，其产品质量保证期不得低于“三包”规定。</w:t>
      </w:r>
    </w:p>
    <w:p w14:paraId="769F1F5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（八）国家相关标准（节选，但不仅限于以下标准）</w:t>
      </w:r>
    </w:p>
    <w:p w14:paraId="650EE20B">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《建筑工程施工质量验收统一标准》GB 50300-2013</w:t>
      </w:r>
    </w:p>
    <w:p w14:paraId="39EFA435">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《建筑装饰装修工程质量验收规范》GB 50210-2018</w:t>
      </w:r>
    </w:p>
    <w:p w14:paraId="243FD162">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《建筑给水排水及采暖工程施工质量验收规范》GB 50242-2002</w:t>
      </w:r>
    </w:p>
    <w:p w14:paraId="2CF370D8">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《建筑电气工程施工质量验收规范》GB 50303-2015</w:t>
      </w:r>
    </w:p>
    <w:p w14:paraId="6D99B21F">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《建筑设计防火规范》GB 50016-2014（2018年版）</w:t>
      </w:r>
    </w:p>
    <w:p w14:paraId="580AB9E9">
      <w:pPr>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《建筑内部装修设计防火规范》GB 50222-2017</w:t>
      </w:r>
    </w:p>
    <w:p w14:paraId="3E29437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9" w:name="_Toc4364"/>
      <w:bookmarkStart w:id="80"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5"/>
      <w:bookmarkEnd w:id="76"/>
      <w:bookmarkEnd w:id="77"/>
      <w:bookmarkEnd w:id="79"/>
      <w:bookmarkEnd w:id="80"/>
      <w:bookmarkStart w:id="81" w:name="_Toc12789059"/>
      <w:bookmarkStart w:id="82" w:name="_Toc11641055"/>
    </w:p>
    <w:p w14:paraId="5642FEE9">
      <w:pPr>
        <w:pStyle w:val="5"/>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3" w:name="_Toc11645"/>
      <w:bookmarkStart w:id="84" w:name="_Toc403569795"/>
      <w:bookmarkStart w:id="85" w:name="_Toc485108793"/>
      <w:bookmarkStart w:id="86"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一、实施时间、实施地点及验收方式</w:t>
      </w:r>
    </w:p>
    <w:p w14:paraId="6C212244">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zh-TW" w:eastAsia="zh-TW"/>
        </w:rPr>
        <w:t>（一）</w:t>
      </w:r>
      <w:r>
        <w:rPr>
          <w:rFonts w:hint="eastAsia" w:ascii="宋体" w:hAnsi="宋体" w:eastAsia="宋体" w:cs="宋体"/>
          <w:color w:val="FF0000"/>
          <w:sz w:val="24"/>
          <w:szCs w:val="24"/>
          <w:shd w:val="clear" w:color="auto" w:fill="auto"/>
        </w:rPr>
        <w:t>实施时间</w:t>
      </w:r>
      <w:r>
        <w:rPr>
          <w:rFonts w:hint="eastAsia" w:ascii="宋体" w:hAnsi="宋体" w:eastAsia="宋体" w:cs="宋体"/>
          <w:color w:val="FF0000"/>
          <w:sz w:val="24"/>
          <w:szCs w:val="24"/>
          <w:shd w:val="clear" w:color="auto" w:fill="auto"/>
          <w:lang w:val="zh-TW" w:eastAsia="zh-TW"/>
        </w:rPr>
        <w:t>：施工合同签订后90日历天内完成本项目所有内容并通过竣工验收。</w:t>
      </w:r>
    </w:p>
    <w:p w14:paraId="0B02C578">
      <w:pPr>
        <w:snapToGrid w:val="0"/>
        <w:spacing w:line="400" w:lineRule="exact"/>
        <w:ind w:firstLine="540"/>
        <w:rPr>
          <w:rFonts w:hint="eastAsia" w:ascii="宋体" w:hAnsi="宋体" w:eastAsia="宋体" w:cs="宋体"/>
          <w:color w:val="FF0000"/>
          <w:sz w:val="24"/>
          <w:szCs w:val="24"/>
          <w:shd w:val="clear" w:color="auto" w:fill="auto"/>
          <w:lang w:val="zh-TW"/>
        </w:rPr>
      </w:pPr>
      <w:r>
        <w:rPr>
          <w:rFonts w:hint="eastAsia" w:ascii="宋体" w:hAnsi="宋体" w:eastAsia="宋体" w:cs="宋体"/>
          <w:color w:val="FF0000"/>
          <w:sz w:val="24"/>
          <w:szCs w:val="24"/>
          <w:shd w:val="clear" w:color="auto" w:fill="auto"/>
          <w:lang w:val="zh-TW" w:eastAsia="zh-TW"/>
        </w:rPr>
        <w:t>（二）</w:t>
      </w:r>
      <w:r>
        <w:rPr>
          <w:rFonts w:hint="eastAsia" w:ascii="宋体" w:hAnsi="宋体" w:eastAsia="宋体" w:cs="宋体"/>
          <w:color w:val="FF0000"/>
          <w:sz w:val="24"/>
          <w:szCs w:val="24"/>
          <w:shd w:val="clear" w:color="auto" w:fill="auto"/>
        </w:rPr>
        <w:t>实施</w:t>
      </w:r>
      <w:r>
        <w:rPr>
          <w:rFonts w:hint="eastAsia" w:ascii="宋体" w:hAnsi="宋体" w:eastAsia="宋体" w:cs="宋体"/>
          <w:color w:val="FF0000"/>
          <w:sz w:val="24"/>
          <w:szCs w:val="24"/>
          <w:shd w:val="clear" w:color="auto" w:fill="auto"/>
          <w:lang w:val="zh-TW" w:eastAsia="zh-TW"/>
        </w:rPr>
        <w:t>地点：重庆永川区重医附属永川医院兴龙湖院区</w:t>
      </w:r>
      <w:r>
        <w:rPr>
          <w:rFonts w:hint="eastAsia" w:ascii="宋体" w:hAnsi="宋体" w:eastAsia="宋体" w:cs="宋体"/>
          <w:color w:val="FF0000"/>
          <w:sz w:val="24"/>
          <w:szCs w:val="24"/>
          <w:shd w:val="clear" w:color="auto" w:fill="auto"/>
          <w:lang w:val="zh-TW"/>
        </w:rPr>
        <w:t>。</w:t>
      </w:r>
    </w:p>
    <w:p w14:paraId="21EE420C">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（三）</w:t>
      </w:r>
      <w:r>
        <w:rPr>
          <w:rFonts w:hint="eastAsia" w:ascii="宋体" w:hAnsi="宋体" w:eastAsia="宋体" w:cs="宋体"/>
          <w:color w:val="FF0000"/>
          <w:sz w:val="24"/>
          <w:szCs w:val="24"/>
          <w:shd w:val="clear" w:color="auto" w:fill="auto"/>
        </w:rPr>
        <w:t>开工时间</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以采购人签发开工令或实际开工之日为准。</w:t>
      </w:r>
    </w:p>
    <w:p w14:paraId="7ACA8A0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w:t>
      </w:r>
      <w:r>
        <w:rPr>
          <w:rFonts w:hint="eastAsia" w:ascii="宋体" w:hAnsi="宋体" w:eastAsia="宋体" w:cs="宋体"/>
          <w:color w:val="FF0000"/>
          <w:sz w:val="24"/>
          <w:szCs w:val="24"/>
          <w:shd w:val="clear" w:color="auto" w:fill="auto"/>
          <w:lang w:eastAsia="zh-CN"/>
        </w:rPr>
        <w:t>四</w:t>
      </w:r>
      <w:r>
        <w:rPr>
          <w:rFonts w:hint="eastAsia" w:ascii="宋体" w:hAnsi="宋体" w:eastAsia="宋体" w:cs="宋体"/>
          <w:color w:val="FF0000"/>
          <w:sz w:val="24"/>
          <w:szCs w:val="24"/>
          <w:shd w:val="clear" w:color="auto" w:fill="auto"/>
        </w:rPr>
        <w:t>）验收方式：</w:t>
      </w:r>
    </w:p>
    <w:p w14:paraId="4C58330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1、验收单位：采购人组织相关部门共同验收。如验收不合格，供应商应承担修复、重做、赔偿损失等责任，采购人不再另行付费。</w:t>
      </w:r>
    </w:p>
    <w:p w14:paraId="6AFAD598">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2、设备和材料到货后，供应商应通知采购人对设备和材料进行验收，经验收合格后方可进行后续施工工作。</w:t>
      </w:r>
    </w:p>
    <w:p w14:paraId="01B57C5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3、验收标准：满足图纸及技术要求，达到国家、重庆市及行业现行规范及验收合格标准。</w:t>
      </w:r>
    </w:p>
    <w:p w14:paraId="2C685924">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4、采购人对工程质量提出异议要求检验或检测的：结果为合格的，费用由采购人承担；结果为不合格或达不到标准的，费用由成交供应商承担。</w:t>
      </w:r>
    </w:p>
    <w:p w14:paraId="32BDA306">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5、供应商须做好施工全过程中相关工程资料的留存并报送采购人存档，须有施工现场施工前后及期间相应节点的对比影像资料用于后期结算。因缺少影像资料造成无法办理相关工程内容结算的损失由供应商自行承担。</w:t>
      </w:r>
    </w:p>
    <w:p w14:paraId="5FD70F01">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6、合同执行完毕，采购人原则上应在7个工作日内组织履约情况验收，不得无故拖延或附加额外条件。</w:t>
      </w:r>
    </w:p>
    <w:p w14:paraId="1A57581E">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w:t>
      </w:r>
      <w:r>
        <w:rPr>
          <w:rFonts w:hint="eastAsia" w:ascii="宋体" w:hAnsi="宋体" w:eastAsia="宋体" w:cs="宋体"/>
          <w:color w:val="FF0000"/>
          <w:sz w:val="24"/>
          <w:szCs w:val="24"/>
          <w:shd w:val="clear" w:color="auto" w:fill="auto"/>
          <w:lang w:eastAsia="zh-CN"/>
        </w:rPr>
        <w:t>五</w:t>
      </w:r>
      <w:r>
        <w:rPr>
          <w:rFonts w:hint="eastAsia" w:ascii="宋体" w:hAnsi="宋体" w:eastAsia="宋体" w:cs="宋体"/>
          <w:color w:val="FF0000"/>
          <w:sz w:val="24"/>
          <w:szCs w:val="24"/>
          <w:shd w:val="clear" w:color="auto" w:fill="auto"/>
        </w:rPr>
        <w:t>）缺陷责任期及工程保修期</w:t>
      </w:r>
    </w:p>
    <w:p w14:paraId="7E70E58A">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1、缺陷责任期为24个月，自工程竣工验收合格（以竣工验收报告签署日期为准）之日起计算。</w:t>
      </w:r>
    </w:p>
    <w:p w14:paraId="058872E9">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工程保修期按国家及相</w:t>
      </w:r>
      <w:r>
        <w:rPr>
          <w:rFonts w:hint="eastAsia" w:ascii="宋体" w:hAnsi="宋体" w:eastAsia="宋体" w:cs="宋体"/>
          <w:color w:val="FF0000"/>
          <w:sz w:val="24"/>
          <w:szCs w:val="24"/>
          <w:shd w:val="clear" w:color="auto" w:fill="auto"/>
        </w:rPr>
        <w:t>关规定、《</w:t>
      </w:r>
      <w:r>
        <w:rPr>
          <w:rFonts w:hint="eastAsia" w:ascii="宋体" w:hAnsi="宋体" w:eastAsia="宋体" w:cs="宋体"/>
          <w:color w:val="FF0000"/>
          <w:sz w:val="24"/>
          <w:szCs w:val="24"/>
          <w:shd w:val="clear" w:color="auto" w:fill="auto"/>
          <w:lang w:val="en-US" w:eastAsia="zh-CN"/>
        </w:rPr>
        <w:t>建</w:t>
      </w:r>
      <w:r>
        <w:rPr>
          <w:rFonts w:hint="eastAsia" w:ascii="宋体" w:hAnsi="宋体" w:eastAsia="宋体" w:cs="宋体"/>
          <w:color w:val="FF0000"/>
          <w:sz w:val="24"/>
          <w:szCs w:val="24"/>
          <w:shd w:val="clear" w:color="auto" w:fill="auto"/>
        </w:rPr>
        <w:t>设工程质量管理条例》执行：</w:t>
      </w:r>
    </w:p>
    <w:p w14:paraId="3FAD4D4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（1）基础设施工程、房屋建筑的地基基础工程和主体结构工程，为设计文件规定的该工程的合理使用年限</w:t>
      </w:r>
      <w:r>
        <w:rPr>
          <w:rFonts w:hint="eastAsia" w:ascii="宋体" w:hAnsi="宋体" w:eastAsia="宋体" w:cs="宋体"/>
          <w:color w:val="FF0000"/>
          <w:sz w:val="24"/>
          <w:szCs w:val="24"/>
          <w:shd w:val="clear" w:color="auto" w:fill="auto"/>
        </w:rPr>
        <w:t>。</w:t>
      </w:r>
    </w:p>
    <w:p w14:paraId="4B14775D">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（2）屋面防水工程、有防水要求的卫生间、房间和外墙面的防渗漏，为5年。</w:t>
      </w:r>
    </w:p>
    <w:p w14:paraId="5DEA0C95">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（3）供热与供冷系统，为2个采暖期、供冷期。</w:t>
      </w:r>
    </w:p>
    <w:p w14:paraId="457BB4B2">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（4）电气管线、给排水管道、设备安装和装修工程，为2年。</w:t>
      </w:r>
    </w:p>
    <w:p w14:paraId="7B09A5E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工程保修期自工程竣工验收合格（以竣工验收报告签署日期为准）之日起计算。</w:t>
      </w:r>
    </w:p>
    <w:bookmarkEnd w:id="83"/>
    <w:p w14:paraId="03390446">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二、报价要求及工程结算</w:t>
      </w:r>
    </w:p>
    <w:p w14:paraId="5E046946">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（一）报价要求</w:t>
      </w:r>
    </w:p>
    <w:p w14:paraId="6E0BE7C5">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1、本工程采用工程量清单计价，固定综合单价。</w:t>
      </w:r>
    </w:p>
    <w:p w14:paraId="1207968F">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范围：各供应商应按照比选文件的施工内容范围的规定，对采购人提供的工程量清单，结合施工设计图纸的要求予以自主报价，按要求填写相应清单表格。工程量清单中的工程量是用作比选报价的估算工程量，不作为最终结算的工程量。用于结算的工程量是实际完成的工程量，并按有关规定计量的合格工程量，供应商可进行二次报价，</w:t>
      </w:r>
      <w:r>
        <w:rPr>
          <w:rFonts w:hint="eastAsia" w:ascii="宋体" w:hAnsi="宋体" w:eastAsia="宋体" w:cs="宋体"/>
          <w:color w:val="FF0000"/>
          <w:sz w:val="24"/>
          <w:szCs w:val="24"/>
          <w:highlight w:val="none"/>
          <w:lang w:val="en-US" w:eastAsia="zh-CN"/>
        </w:rPr>
        <w:t>供应商最后报价时，须以首次响应总报价为基数等比例下调，各分部分项工程量清单报价应与总价同比例下浮，不得调整报价结构，且不得高于首次响应报价，</w:t>
      </w:r>
      <w:r>
        <w:rPr>
          <w:rFonts w:hint="eastAsia" w:ascii="宋体" w:hAnsi="宋体" w:eastAsia="宋体" w:cs="宋体"/>
          <w:color w:val="FF0000"/>
          <w:sz w:val="24"/>
          <w:szCs w:val="24"/>
          <w:shd w:val="clear" w:color="auto" w:fill="auto"/>
          <w:lang w:val="en-US" w:eastAsia="zh-CN"/>
        </w:rPr>
        <w:t>报价时，供应商应充分考虑施工区域、作业难度、施工难度、现场安全文明施工要求、质量要求、采购人各项管理规定等因素。</w:t>
      </w:r>
    </w:p>
    <w:p w14:paraId="139572AB">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原则：由供应商以比选文件、合同条件、工程量清单、本次比选范围内的施工图纸内容、国家技术和经济规范及标准，按照现行《建设工程工程量清单计价规范》（GB50500-2013）及重庆市相关计价定额及配套文件为依据，供应商结合自身实力、市场行情自主合理报价。比选报价应包括完成本工程项目的人工费、材料费、机械费、企业管理费、利润、风险费用、措施费（含安全文明施工费）、规费、税金等所有费用。采购人除此以外不支付其它费用。</w:t>
      </w:r>
    </w:p>
    <w:p w14:paraId="0CFD540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本工程各分部分项工程量清单子项不论其对应的项目特征和工作内容是否描述完整，都将被认为已包括现行《建设工程工程量清单计价规范》（GB50500-2013）及重庆市相关计价定额及配套文件中相应项目编码和项目名称及施工图纸、相关规范、标准、政策性文件、规定、限制和禁止使用通告等所有工程内容及完成此工作内容而必须的各种主要、辅助工作；综合单价应包括完成该子项所需的人工费、材料费、机械费、企业管理费、利润、风险费用；施工组织措施费包干使用（安全文明施工专项费用除外），结算时不作调整；施工技术措施清单中以项计列的项目包干使用，结算时不作调整；施工技术措施若以项目编码、项目名称、项目特征、工程内容、工程量及计量单位列项的项目，结算时按实计取；</w:t>
      </w:r>
    </w:p>
    <w:p w14:paraId="4C780BA5">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安全文明施工费应按照现行安全文明施工费计取及管理政策规定及《重庆市住房和城乡建设委员会关于修订发布《重庆市建设工程安全文明施工费计取及使用管理规定》的通知》渝建管〔2024〕38号合格标准计取；税金按照《重庆市城乡建设委员会关于建筑营业税改征增值税调整建设工程计价依据的通知》（渝建〔2016〕35号）和《重庆市住房和城乡建设委员会关于适用增值税新税率调整建设工程计价依据的通知》（渝建〔2019〕143号）执行。成交后采购人无论任何因素不再对综合单价、施工组织措施费进行调整。比选报价由分部分项工程费、措施项目费（含安全文明施工费）、其他项目费（暂估价和暂列金额）、规费、税金组成。</w:t>
      </w:r>
    </w:p>
    <w:p w14:paraId="3AAF64BB">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供应商应结合施工图纸对工程量清单进行复核，如发现工程量清单中的数量与施工图纸中数量不一致，应在比选活动开始前书面通知或电话联系采购人进行核查，若有更正调整，采购人将以补遗文件的形式予以更正，否则，应以工程量清单中列出的数量为准。</w:t>
      </w:r>
    </w:p>
    <w:p w14:paraId="2BA2C828">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6、报价函中的总报价与已标价工程量清单总报价不一致，或工程量清单总报价与依据单价、工程数量、分部分项工程合价计算出的结果不一致，由评标委员会作否决投标处理。</w:t>
      </w:r>
    </w:p>
    <w:p w14:paraId="450C5916">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7、采购人在工程量清单中所列出的专业工程暂估价、暂列金额，供应商不得修改。否则视为对比选文件不作实质性响应，其响应文件按无效处理。</w:t>
      </w:r>
    </w:p>
    <w:p w14:paraId="4314A728">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8、工程量清单中的项、量、综合单价：</w:t>
      </w:r>
    </w:p>
    <w:p w14:paraId="1CF6EAF4">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除采购人对工程量清单内容进行补遗修改外，供应商在编制比选报价时不得擅自变改采购人提供的分部分项工程量清单中的序号、项目编码、项目名称、项目特征、工程内容、工程量及计量单位，否则视为对比选文件不作实质性响应，其响应文件按无效处理。</w:t>
      </w:r>
    </w:p>
    <w:p w14:paraId="53C6DAF1">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供应商只有严格按采购人提供的《工程量清单》和本比选文件中提供的已标价工程量清单表格格式内所有项目进行报价，才能视为总体报价完整，不得出现漏项或增项，否则视为对比选文件不作实质性响应，其响应文件按无效处理。</w:t>
      </w:r>
    </w:p>
    <w:p w14:paraId="58779FC2">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空白或报价为零，则视为该子项的价款已包括在工程量清单其他子目的单价和合价中，成交后必须完成该子项工作内容，采购人不对该子项进行结算与支付；施工过程中，因采购人原因需要对报价空白或报价为零的项目减少实施工程量或不予实施，采购人将按比选报价时计价原则计算出该项目的综合单价以及相应的规费、措施费和税金，并据此从结算价中扣除。</w:t>
      </w:r>
    </w:p>
    <w:p w14:paraId="4A7A56D4">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本工程量清单的计量按照现行《建设工程工程量清单计价规范》（GB50500-2013）及重庆市相关计价定额及配套文件相应细目的“工程量计算规则”进行计算。除采购人另有规定外，凡超出图纸所示的任何长度、面积、体积、重量等均不予计量和支付。工程数量按设计数量净值计算，凡施工过程中的材料损耗、消耗，无论材料由何方供应，也无论这些损耗是否包含在消耗定额内，均由供应商纳入相关工程量清单中的综合单价内。</w:t>
      </w:r>
    </w:p>
    <w:p w14:paraId="60F882EF">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9、人工工日价格及材料采购及报价</w:t>
      </w:r>
    </w:p>
    <w:p w14:paraId="09288AA9">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（1）本工程人工工日价格参照距本项目采购截止时间最近一期《重庆工程造价信息》公布的永川地区综合工日价格及供应商自身实力自主报价。成交后，价格不作调整；</w:t>
      </w:r>
    </w:p>
    <w:p w14:paraId="3FD4CA72">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本工程所用的材料（设备）由成交供应商自行采购，但所采购的材料（设备）必须符合国家规范标准及设计文件、采购文件要求，并提供相应合格证明资料（出厂合格证、质量证明书、出厂检验报告等）、质保书等。</w:t>
      </w:r>
    </w:p>
    <w:p w14:paraId="0F0C845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本工程所用的材料（设备）由各供应商参照重庆市建设工程造价总站主办的《重庆工程造价信息》距本项目采购截止时间最近一期公布的信息价并结合市场行情以及供应商的自身实力自主报价，并承担材料价格涨跌风险。成交后，材料（设备）价格均不作调整。</w:t>
      </w:r>
    </w:p>
    <w:p w14:paraId="63BFF491">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10、项目在实施过程中，若按约定的计量规则确认的完成工程量比已标价工程量清单载明工程量增加超过15%，且采购人发现成交供应商的已标价工程量清单相关清单子目中有严重不平衡报价的，采购人将对严重不平衡报价的清单子目综合单价进行修正，并按修正后的综合单价办理增加超过15%的部分的竣工结算，修正综合单价按照变更组价原则约定执行。</w:t>
      </w:r>
    </w:p>
    <w:p w14:paraId="0D614935">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11、安全文明施工措施费：按照现行安全文明施工费计取及管理政策规定及《重庆市住房和城乡建设委员会关于修订发布《重庆市建设工程安全文明施工费计取及使用管理规定》的通知》渝建管〔2024〕38号合格标准计取。</w:t>
      </w:r>
    </w:p>
    <w:p w14:paraId="2C5552B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12、规费：按照《重庆市建设工程费用定额》（CQFYDE-2018）所规定费率执行。</w:t>
      </w:r>
    </w:p>
    <w:p w14:paraId="5FAB7644">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13、税金：按照《重庆市城乡建设委员会关于建筑营业税改征增值税调整建设工程计价依据的通知》（渝建〔2016〕35号）和《关于适用增值税新税率调整建设工程计价依据的通知》（渝建〔2019〕143号）执行。</w:t>
      </w:r>
    </w:p>
    <w:p w14:paraId="07A4F921">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14、本项目两次报价均采用人民币报价。</w:t>
      </w:r>
    </w:p>
    <w:p w14:paraId="41314375">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15、首次报价必须按照清单报价规则进行报价，暂列价、暂估（暂定）材料价等金额不得更改。</w:t>
      </w:r>
    </w:p>
    <w:p w14:paraId="48835086">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16、供应商未按要求进行报价的视为未进行实质性响应。</w:t>
      </w:r>
    </w:p>
    <w:p w14:paraId="7EEC21BD">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17、第二次报价按照工程总价进行报价（安全文明施工费、暂估价（如有）、暂列金额（如有）等不可竞争费用必须按给定金额填报不得浮动，否则，其响应文件按无效处理）。</w:t>
      </w:r>
    </w:p>
    <w:p w14:paraId="3F12A616">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18、其他说明</w:t>
      </w:r>
    </w:p>
    <w:p w14:paraId="6900DE13">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（1）比选报价函中的总报价必须与工程量清单报价表所报金额一致，若不一致，作无效处理；供应商不得对采购人发出的工程量清单的项、量进行修改或省略项目特征，否则按无效处理。</w:t>
      </w:r>
    </w:p>
    <w:p w14:paraId="3E30F9BD">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（2）按政策和合同约定的应由成交供应商交纳的各种保险费由成交供应商自行投保，保险费由成交供应商承担并支付，各种规费、环保费、检测试验费根据企业自身和本工程情况，测算包含在相应的报价中。</w:t>
      </w:r>
    </w:p>
    <w:p w14:paraId="565210D4">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（3）符合合同条款规定的全部费用应认为已被计入有标价的工程量清单所列各子目之中，未列子目不予计量的工作，其费用应视为已分摊在本合同工程的有关子目的单价或总价之中。</w:t>
      </w:r>
    </w:p>
    <w:p w14:paraId="41ABB3B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（4）每一项目只允许有一个报价。任何有选择的报价将不予接受，其响应文件为无效。</w:t>
      </w:r>
    </w:p>
    <w:p w14:paraId="7EB7314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（5）各供应商对于相同的工程量清单（即工作内容和项目特征描述相同）报价须一致。若出现报价不一致，按无效处理。</w:t>
      </w:r>
    </w:p>
    <w:p w14:paraId="6F769497">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供应商应先到工地踏勘以充分了解工地位置、地质情况、地下管网状况、进出场道路、交通管制、拆迁干扰、储存空间、装卸限制、水电接口、行车干扰、人行交通及任何其它足以影响承包价格的情况，任何因忽视或误解工地情况而导致的索赔或工期延长申请将不获批准。</w:t>
      </w:r>
    </w:p>
    <w:p w14:paraId="3AFB9B71">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（7）各供应商根据采购人提供的工程量清单和《重庆市建设工程费用定额》（CQFYDE-2018）规定的表格，结合本项目并根据实际情况填报工程量清单。</w:t>
      </w:r>
    </w:p>
    <w:p w14:paraId="5B4B7D33">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（8）本项目不接受合同分包，否则按无效处理；</w:t>
      </w:r>
    </w:p>
    <w:p w14:paraId="52C0445E">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19、</w:t>
      </w:r>
      <w:r>
        <w:rPr>
          <w:rFonts w:hint="eastAsia" w:ascii="宋体" w:hAnsi="宋体" w:eastAsia="宋体" w:cs="宋体"/>
          <w:b/>
          <w:bCs/>
          <w:color w:val="FF0000"/>
          <w:sz w:val="24"/>
          <w:szCs w:val="24"/>
          <w:highlight w:val="none"/>
          <w:shd w:val="clear" w:color="auto" w:fill="auto"/>
          <w:lang w:val="en-US" w:eastAsia="zh-CN"/>
        </w:rPr>
        <w:t>本工程设置最高限价为</w:t>
      </w:r>
      <w:r>
        <w:rPr>
          <w:rFonts w:hint="eastAsia" w:ascii="宋体" w:hAnsi="宋体" w:eastAsia="宋体" w:cs="宋体"/>
          <w:b/>
          <w:bCs/>
          <w:color w:val="FF0000"/>
          <w:sz w:val="24"/>
          <w:szCs w:val="24"/>
          <w:highlight w:val="none"/>
          <w:u w:val="single"/>
          <w:shd w:val="clear" w:color="auto" w:fill="auto"/>
          <w:lang w:val="en-US" w:eastAsia="zh-CN"/>
        </w:rPr>
        <w:t>990786.80元（含安全文明施工费34731.02元）</w:t>
      </w:r>
      <w:r>
        <w:rPr>
          <w:rFonts w:hint="eastAsia" w:ascii="宋体" w:hAnsi="宋体" w:eastAsia="宋体" w:cs="宋体"/>
          <w:color w:val="FF0000"/>
          <w:sz w:val="24"/>
          <w:szCs w:val="24"/>
          <w:shd w:val="clear" w:color="auto" w:fill="auto"/>
          <w:lang w:val="en-US" w:eastAsia="zh-CN"/>
        </w:rPr>
        <w:t>，供应商的比选报价不得超过采购人公布的总价最高限价及工程量清单单项最高限价，安全文明施工费、暂估价（如有）、暂列金额（如有）等不可竞争费用必须按给定金额填报不得浮动，否则，其响应文件按无效处理。</w:t>
      </w:r>
    </w:p>
    <w:p w14:paraId="28BB8671">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（二）结算原则</w:t>
      </w:r>
    </w:p>
    <w:p w14:paraId="19588477">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本合同采用固定综合单价合同，综合单价不因工程量的增减而调整。除非合同另有约定，比选报价的工程量清单中的综合单价均已包含但不限于供应商为实施和完成合同工程量清单项目所需的人工费、材料费、机械费、企业管理费、利润、风险费用。</w:t>
      </w:r>
    </w:p>
    <w:p w14:paraId="1CC7A173">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2、工程结算价按下列方式计算：</w:t>
      </w:r>
    </w:p>
    <w:p w14:paraId="277A51F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工程结算价 = 分部分项工程量清单结算价 + 措施项目结算价 + 变更与现场签证结算价 + 规费 + 税金 + 合同约定的其他费用</w:t>
      </w:r>
    </w:p>
    <w:p w14:paraId="28F3DCCF">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具体结算办法：</w:t>
      </w:r>
    </w:p>
    <w:p w14:paraId="1FFCEDC3">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分部分项工程量清单结算价：工程量按实际完成且经验收合格的工程量计量。本项目有二次报价的，结算综合单价按成交下浮比例进行统一调整。调整比例 =（供应商最后总报价 - 不可竞争费用）/（供应商初始总报价 - 不可竞争费用）×100%。</w:t>
      </w:r>
    </w:p>
    <w:p w14:paraId="22D641C4">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措施项目结算价：施工组织措施费按成交供应商响应时的报价包干结算（安全文明施工费除外）。施工技术措施清单中以项计列的项目包干结算；以项目编码、项目名称、项目特征列项的项目，按分部分项工程量清单结算原则执行。</w:t>
      </w:r>
    </w:p>
    <w:p w14:paraId="670E6277">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安全文明施工费：按《重庆市建设工程安全文明施工费计取及使用管理规定（2024版）》（渝建管〔2024〕38号）规定标准进行结算。安全文明施工综合评定结果为不合格的，则不计取。</w:t>
      </w:r>
    </w:p>
    <w:p w14:paraId="2D9CC4A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4</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工程变更与现场签证：按采购人和成交供应商共同认定的实际发生工程量据实结算。已标价清单中有适用或类似子目的，按该子目或参照类似子目综合单价计价；无适用也无可参照子目的，按现行计价定额及相关文件重新组价，并按成交下浮率下浮，经采购人审核后作为结算综合单价。</w:t>
      </w:r>
    </w:p>
    <w:p w14:paraId="24EF0B71">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5</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规费、税金：按现行规定费率结算。若成交供应商报价中的费率低于规定费率，则以报价费率结算。</w:t>
      </w:r>
    </w:p>
    <w:p w14:paraId="0FA747EC">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6</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工程竣工结算金额以最后一次审核单位的审定金额为准。</w:t>
      </w:r>
    </w:p>
    <w:p w14:paraId="0E00A928">
      <w:pPr>
        <w:pStyle w:val="5"/>
        <w:spacing w:line="240" w:lineRule="auto"/>
        <w:outlineLvl w:val="9"/>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履约保证金</w:t>
      </w:r>
    </w:p>
    <w:p w14:paraId="1508B9B0">
      <w:pPr>
        <w:snapToGrid w:val="0"/>
        <w:spacing w:line="400" w:lineRule="exact"/>
        <w:ind w:firstLine="54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eastAsia="zh-CN"/>
        </w:rPr>
        <w:t>1、本项目履约保证金为成交金额的10%。</w:t>
      </w:r>
    </w:p>
    <w:p w14:paraId="7276E73B">
      <w:pPr>
        <w:snapToGrid w:val="0"/>
        <w:spacing w:line="400" w:lineRule="exact"/>
        <w:ind w:firstLine="54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eastAsia="zh-CN"/>
        </w:rPr>
        <w:t>2、缴纳方式：成交供应商应在成交通知书发出后七个工作日内、合同签订之前以支票、汇票、本票、保函（收款人/受益人为采购人，见索即付不可撤销的银行保函，有效期须覆盖至预期竣工验收合格之日。如票证到期仍未验收合格，成交供应商应及时重新提交有效票证以确保在验收合格前采购人始终持有有效票证）或公对公转账的形式向采购人支付履约保证金。逾期未支付的，采购人有权取消成交供应商成交资格。</w:t>
      </w:r>
    </w:p>
    <w:p w14:paraId="5390C39D">
      <w:pPr>
        <w:snapToGrid w:val="0"/>
        <w:spacing w:line="400" w:lineRule="exact"/>
        <w:ind w:firstLine="54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eastAsia="zh-CN"/>
        </w:rPr>
        <w:t>3、履约保证金</w:t>
      </w:r>
      <w:r>
        <w:rPr>
          <w:rFonts w:hint="eastAsia" w:ascii="宋体" w:hAnsi="宋体" w:eastAsia="宋体" w:cs="宋体"/>
          <w:color w:val="FF0000"/>
          <w:sz w:val="24"/>
          <w:szCs w:val="24"/>
          <w:highlight w:val="yellow"/>
          <w:shd w:val="clear" w:color="auto" w:fill="auto"/>
          <w:lang w:eastAsia="zh-CN"/>
        </w:rPr>
        <w:t>不计息。</w:t>
      </w:r>
    </w:p>
    <w:p w14:paraId="7AA38CA5">
      <w:pPr>
        <w:snapToGrid w:val="0"/>
        <w:spacing w:line="400" w:lineRule="exact"/>
        <w:ind w:firstLine="54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eastAsia="zh-CN"/>
        </w:rPr>
        <w:t>4、成交供应商提供的工程未达到采购文件规定要求，且对采购人造成损失的，由成交供应商承担一切责任的同时，扣除履约保证金，并赔偿所造成的损失。</w:t>
      </w:r>
    </w:p>
    <w:p w14:paraId="6CF49854">
      <w:pPr>
        <w:pStyle w:val="5"/>
        <w:spacing w:line="240" w:lineRule="auto"/>
        <w:outlineLvl w:val="9"/>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lang w:eastAsia="zh-CN"/>
        </w:rPr>
        <w:t>四、付款方式</w:t>
      </w:r>
    </w:p>
    <w:p w14:paraId="0A83251F">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1、安全文明施工费：施工合同签订后，在成交供应商提供对应金额合格有效发票后20个工作日内，支付安全文明施工费暂定金额的50%，剩余部分随工程进度支付，其余规定按渝建管〔2024〕38号规定执行。</w:t>
      </w:r>
    </w:p>
    <w:p w14:paraId="1553E2E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2、月进度款：每月支付经采购人审核的当月实际已完成合格工程量80%的工程进度款（包含农民工工资）。</w:t>
      </w:r>
    </w:p>
    <w:p w14:paraId="29A5CE19">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3、当进度款支付累计达到合同总价的80%（含一般设计变更）时暂停支付工程款，若有合同外较大工程量或重大设计变更，双方另行签订补充协议。</w:t>
      </w:r>
    </w:p>
    <w:p w14:paraId="6299B4BC">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4、工程完工后，经采购人验收通过后支付至合同总价的85%。</w:t>
      </w:r>
    </w:p>
    <w:p w14:paraId="219C489F">
      <w:pPr>
        <w:snapToGrid w:val="0"/>
        <w:spacing w:line="400" w:lineRule="exact"/>
        <w:ind w:firstLine="54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rPr>
        <w:t>5、</w:t>
      </w:r>
      <w:r>
        <w:rPr>
          <w:rFonts w:hint="eastAsia" w:ascii="宋体" w:hAnsi="宋体" w:eastAsia="宋体" w:cs="宋体"/>
          <w:color w:val="FF0000"/>
          <w:sz w:val="24"/>
          <w:szCs w:val="24"/>
          <w:shd w:val="clear" w:color="auto" w:fill="auto"/>
          <w:lang w:val="en-US" w:eastAsia="zh-CN"/>
        </w:rPr>
        <w:t>工程竣工验收合格，完成竣工结算审核后支付至审定金额的97%，余下3%作为质保金,待质保期满且无质量问题后无息退还。</w:t>
      </w:r>
    </w:p>
    <w:p w14:paraId="463DF671">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注：</w:t>
      </w:r>
    </w:p>
    <w:p w14:paraId="743F42F1">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每月25日前成交供应商向采购人提交当月进度款资料（含能证明合格工程量的工程资料，包括但不限于隐蔽资料、自检报告等），进度款资料不得虚报工程量，否则采购人有权暂停受理当月进度款支付。</w:t>
      </w:r>
    </w:p>
    <w:p w14:paraId="08DDFE6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lang w:eastAsia="zh-CN"/>
        </w:rPr>
        <w:t>）</w:t>
      </w:r>
      <w:r>
        <w:rPr>
          <w:rFonts w:hint="eastAsia" w:ascii="宋体" w:hAnsi="宋体" w:eastAsia="宋体" w:cs="宋体"/>
          <w:color w:val="FF0000"/>
          <w:sz w:val="24"/>
          <w:szCs w:val="24"/>
          <w:shd w:val="clear" w:color="auto" w:fill="auto"/>
        </w:rPr>
        <w:t>首次工程进度款支付前，成交供应商须配合采购人完成合同报价清单的核对工作，否则采购人有权暂停受理进度款支付。</w:t>
      </w:r>
    </w:p>
    <w:p w14:paraId="07611ED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（3）农民工工资不低于当月审定合格进度产值的25%，由采购人直接汇入农民工工资专户。</w:t>
      </w:r>
    </w:p>
    <w:p w14:paraId="2F53D925">
      <w:pPr>
        <w:snapToGrid w:val="0"/>
        <w:spacing w:line="400" w:lineRule="exact"/>
        <w:ind w:firstLine="540"/>
        <w:rPr>
          <w:rFonts w:hint="eastAsia" w:ascii="宋体" w:hAnsi="宋体" w:eastAsia="宋体" w:cs="宋体"/>
          <w:color w:val="FF0000"/>
          <w:sz w:val="24"/>
          <w:szCs w:val="24"/>
          <w:shd w:val="clear" w:color="auto" w:fill="auto"/>
          <w:lang w:eastAsia="zh-CN"/>
        </w:rPr>
      </w:pPr>
      <w:r>
        <w:rPr>
          <w:rFonts w:hint="eastAsia" w:ascii="宋体" w:hAnsi="宋体" w:eastAsia="宋体" w:cs="宋体"/>
          <w:color w:val="FF0000"/>
          <w:sz w:val="24"/>
          <w:szCs w:val="24"/>
          <w:shd w:val="clear" w:color="auto" w:fill="auto"/>
        </w:rPr>
        <w:t>（4）付款前，成交供应商须提供对应金额合格有效发票，否则采购人有权拒绝付款且不承担违约责任。</w:t>
      </w:r>
    </w:p>
    <w:p w14:paraId="17FFE085">
      <w:pPr>
        <w:pStyle w:val="6"/>
        <w:rPr>
          <w:rFonts w:hint="eastAsia" w:ascii="宋体" w:hAnsi="宋体" w:eastAsia="宋体" w:cs="宋体"/>
          <w:b/>
          <w:color w:val="FF0000"/>
          <w:kern w:val="2"/>
          <w:sz w:val="24"/>
          <w:szCs w:val="24"/>
          <w:shd w:val="clear" w:color="auto" w:fill="auto"/>
          <w:lang w:val="en-US" w:eastAsia="zh-CN" w:bidi="ar-SA"/>
        </w:rPr>
      </w:pPr>
      <w:r>
        <w:rPr>
          <w:rFonts w:hint="eastAsia" w:ascii="宋体" w:hAnsi="宋体" w:eastAsia="宋体" w:cs="宋体"/>
          <w:b/>
          <w:color w:val="FF0000"/>
          <w:kern w:val="2"/>
          <w:sz w:val="24"/>
          <w:szCs w:val="24"/>
          <w:shd w:val="clear" w:color="auto" w:fill="auto"/>
          <w:lang w:val="en-US" w:eastAsia="zh-CN" w:bidi="ar-SA"/>
        </w:rPr>
        <w:t>五、违约责任</w:t>
      </w:r>
    </w:p>
    <w:p w14:paraId="26F9F382">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1、</w:t>
      </w:r>
      <w:r>
        <w:rPr>
          <w:rFonts w:hint="eastAsia" w:ascii="宋体" w:hAnsi="宋体" w:eastAsia="宋体" w:cs="宋体"/>
          <w:color w:val="FF0000"/>
          <w:sz w:val="24"/>
          <w:szCs w:val="24"/>
          <w:shd w:val="clear" w:color="auto" w:fill="auto"/>
        </w:rPr>
        <w:t>工期延误违约责任：</w:t>
      </w:r>
    </w:p>
    <w:p w14:paraId="1214D71E">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由于成交供应商原因逾期竣工的，每逾期一天，成交供应商每日向采购人支付合同价款千分之三的违约金。</w:t>
      </w:r>
    </w:p>
    <w:p w14:paraId="46694A4E">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逾期7日及以上不能交付的，成交供应商应向采购人支付合同总价10%的违约金，且采购人有权单方解除本合同。若违约金不足以弥补采购人实际损失的，成交供应商还应予以补足。</w:t>
      </w:r>
    </w:p>
    <w:p w14:paraId="052F3CBA">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2、</w:t>
      </w:r>
      <w:r>
        <w:rPr>
          <w:rFonts w:hint="eastAsia" w:ascii="宋体" w:hAnsi="宋体" w:eastAsia="宋体" w:cs="宋体"/>
          <w:color w:val="FF0000"/>
          <w:sz w:val="24"/>
          <w:szCs w:val="24"/>
          <w:shd w:val="clear" w:color="auto" w:fill="auto"/>
        </w:rPr>
        <w:t>合同解除情形：</w:t>
      </w:r>
    </w:p>
    <w:p w14:paraId="34C0D998">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成交供应商出现下列情形之一时，采购人有权单方解除合同，要求成交供应商立即无条件退场，成交供应商应向采购人支付合同总价款10%的违约金并赔偿采购人全部损失：</w:t>
      </w:r>
    </w:p>
    <w:p w14:paraId="254D3A9E">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（1）无正当原因停工三天或累计停工五天及以上的；</w:t>
      </w:r>
    </w:p>
    <w:p w14:paraId="2F8E7AB1">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（2）恶意低价成交，施工期间以合同价款不足为由拒不执行或拖延执行合同时间达到三天或累计停工五天以上的；</w:t>
      </w:r>
    </w:p>
    <w:p w14:paraId="4E2B32AC">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（3）施工过程中分项工程验收不合格，拒不整改或整改后仍无法达到质量要求的；</w:t>
      </w:r>
    </w:p>
    <w:p w14:paraId="35544B75">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（4）施工组织不力，经采购人指出后拒不整改或整改措施不力，致使工程已明显无法在规定工期内完成的；</w:t>
      </w:r>
    </w:p>
    <w:p w14:paraId="25FCC1C0">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（5）将合同的全部或部分转让给其他人的；</w:t>
      </w:r>
    </w:p>
    <w:p w14:paraId="45660EB2">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（6）施工现场管理人员不到岗或擅自离岗三次及以上的，或未经采购人同意擅自更换项目经理的；</w:t>
      </w:r>
    </w:p>
    <w:p w14:paraId="54E5DB8C">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（7）因成交供应商原因导致材料不合格或工程质量不合格，在指定期限内未完成整改或经整改一次仍不合格的；</w:t>
      </w:r>
    </w:p>
    <w:p w14:paraId="68539E57">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（8）成交供应商明确表示或者以其行为表明不履行合同主要义务的。</w:t>
      </w:r>
    </w:p>
    <w:p w14:paraId="679585D0">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3、</w:t>
      </w:r>
      <w:r>
        <w:rPr>
          <w:rFonts w:hint="eastAsia" w:ascii="宋体" w:hAnsi="宋体" w:eastAsia="宋体" w:cs="宋体"/>
          <w:color w:val="FF0000"/>
          <w:sz w:val="24"/>
          <w:szCs w:val="24"/>
          <w:shd w:val="clear" w:color="auto" w:fill="auto"/>
        </w:rPr>
        <w:t>安全事故责任：</w:t>
      </w:r>
    </w:p>
    <w:p w14:paraId="041C4AA3">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成交供应商应在事故发生后立即向采购人报告事故基本情况，采取措施防止事故损失扩大。采购人有权立即要求成交供应商暂停施工，成交供应商须在采购人规定时限内消除其责任范围内的事故影响，经采购人同意后方可复工。</w:t>
      </w:r>
    </w:p>
    <w:p w14:paraId="4D5050CF">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安全事故造成成交供应商工作人员以外人员的人身伤害或财产损失的，由成交供应商承担全部赔偿责任（包括但不限于医疗费用、财产损失、法律诉讼及律师费用等），采购人不承担任何连带责任。如因法院判决采购人承担了连带责任，采购人有权向成交供应商追偿。</w:t>
      </w:r>
    </w:p>
    <w:p w14:paraId="7FE7C167">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因事故处理导致的工程延期交付，成交供应商应按本合同约定承担工期延误违约责任。若延误超过合同约定上限天数，采购人有权解除合同并追究成交供应商其他违约责任。</w:t>
      </w:r>
    </w:p>
    <w:p w14:paraId="2FB2DC2B">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4、</w:t>
      </w:r>
      <w:r>
        <w:rPr>
          <w:rFonts w:hint="eastAsia" w:ascii="宋体" w:hAnsi="宋体" w:eastAsia="宋体" w:cs="宋体"/>
          <w:color w:val="FF0000"/>
          <w:sz w:val="24"/>
          <w:szCs w:val="24"/>
          <w:shd w:val="clear" w:color="auto" w:fill="auto"/>
        </w:rPr>
        <w:t>其他：</w:t>
      </w:r>
    </w:p>
    <w:p w14:paraId="11BEDA1D">
      <w:pPr>
        <w:snapToGrid w:val="0"/>
        <w:spacing w:line="400" w:lineRule="exact"/>
        <w:ind w:firstLine="54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因成交供应商违约导致诉讼的，由此产生的相关费用（包括但不限于诉讼费、保全费、律师费、差旅费等）由成交供应商承担。</w:t>
      </w:r>
    </w:p>
    <w:bookmarkEnd w:id="84"/>
    <w:bookmarkEnd w:id="85"/>
    <w:bookmarkEnd w:id="86"/>
    <w:p w14:paraId="0920524A">
      <w:pPr>
        <w:pStyle w:val="4"/>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1"/>
      <w:bookmarkEnd w:id="82"/>
      <w:bookmarkStart w:id="87" w:name="_Toc26989"/>
      <w:bookmarkStart w:id="88" w:name="_Toc403569796"/>
      <w:bookmarkStart w:id="89" w:name="_Toc15711"/>
      <w:bookmarkStart w:id="90" w:name="_Toc14840"/>
      <w:bookmarkStart w:id="91" w:name="_Toc485108794"/>
      <w:bookmarkStart w:id="92" w:name="_Toc148265480"/>
      <w:bookmarkStart w:id="93"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7"/>
      <w:bookmarkEnd w:id="88"/>
      <w:bookmarkEnd w:id="89"/>
      <w:bookmarkEnd w:id="90"/>
      <w:bookmarkEnd w:id="91"/>
    </w:p>
    <w:p w14:paraId="5E46A35E">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54718202"/>
      <w:bookmarkStart w:id="95"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4"/>
      <w:bookmarkEnd w:id="95"/>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6"/>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7"/>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8"/>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9"/>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00"/>
    </w:p>
    <w:p w14:paraId="484E1025">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3"/>
      <w:bookmarkStart w:id="102"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01"/>
      <w:bookmarkEnd w:id="102"/>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3"/>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54718204"/>
      <w:bookmarkStart w:id="105"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4"/>
      <w:bookmarkEnd w:id="105"/>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5177"/>
      <w:bookmarkStart w:id="107"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6"/>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8"/>
    </w:p>
    <w:p w14:paraId="16BE7E99">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7"/>
      <w:bookmarkEnd w:id="109"/>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10"/>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11"/>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12"/>
    </w:p>
    <w:p w14:paraId="0E692A86">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54718206"/>
      <w:bookmarkStart w:id="114"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3"/>
      <w:bookmarkEnd w:id="114"/>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5" w:name="_Toc12985"/>
      <w:bookmarkStart w:id="116"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5"/>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6"/>
    </w:p>
    <w:p w14:paraId="318F8000">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54718207"/>
      <w:bookmarkStart w:id="118"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7"/>
      <w:bookmarkEnd w:id="118"/>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9"/>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20"/>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21"/>
    </w:p>
    <w:p w14:paraId="0105B429">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54718211"/>
      <w:bookmarkStart w:id="123" w:name="_Toc1158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22"/>
      <w:bookmarkEnd w:id="123"/>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4"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4"/>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5"/>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6" w:name="_Toc54718210"/>
      <w:bookmarkStart w:id="127" w:name="_Toc31719"/>
      <w:bookmarkStart w:id="128" w:name="_Toc54718212"/>
      <w:bookmarkStart w:id="129"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6"/>
      <w:bookmarkEnd w:id="127"/>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30"/>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31"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31"/>
    </w:p>
    <w:p w14:paraId="7F490E8A">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8"/>
      <w:bookmarkEnd w:id="129"/>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32"/>
      <w:bookmarkEnd w:id="133"/>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4"/>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5"/>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6"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6"/>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7"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7"/>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8"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8"/>
    </w:p>
    <w:bookmarkEnd w:id="92"/>
    <w:bookmarkEnd w:id="93"/>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4"/>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9" w:name="_Hlt41879464"/>
      <w:bookmarkEnd w:id="139"/>
      <w:bookmarkStart w:id="140" w:name="_Toc485108795"/>
      <w:bookmarkStart w:id="141" w:name="_Toc29521"/>
      <w:bookmarkStart w:id="142" w:name="_Toc13696"/>
      <w:bookmarkStart w:id="143" w:name="_Toc12789072"/>
      <w:bookmarkStart w:id="144"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40"/>
      <w:bookmarkEnd w:id="141"/>
      <w:bookmarkEnd w:id="142"/>
      <w:bookmarkEnd w:id="143"/>
      <w:bookmarkEnd w:id="144"/>
    </w:p>
    <w:p w14:paraId="34751414">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5"/>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6"/>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7"/>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38358147"/>
      <w:bookmarkStart w:id="149" w:name="OLE_LINK11"/>
      <w:bookmarkStart w:id="150"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8"/>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5"/>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1"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51"/>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5"/>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19884"/>
      <w:bookmarkStart w:id="153" w:name="_Toc5685"/>
      <w:bookmarkStart w:id="154"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52"/>
      <w:bookmarkEnd w:id="153"/>
      <w:bookmarkEnd w:id="154"/>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5"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5"/>
    </w:p>
    <w:bookmarkEnd w:id="149"/>
    <w:bookmarkEnd w:id="150"/>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2"/>
        <w:numPr>
          <w:ilvl w:val="0"/>
          <w:numId w:val="15"/>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6" w:name="_Toc480979018"/>
      <w:bookmarkStart w:id="157" w:name="_Toc342913419"/>
      <w:bookmarkStart w:id="158" w:name="_Toc5565"/>
      <w:bookmarkStart w:id="159" w:name="_Toc313008356"/>
      <w:bookmarkStart w:id="160" w:name="_Toc485108796"/>
      <w:bookmarkStart w:id="161" w:name="_Toc313888360"/>
      <w:bookmarkStart w:id="162" w:name="_Toc283382454"/>
      <w:bookmarkStart w:id="163"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6"/>
      <w:bookmarkEnd w:id="157"/>
      <w:bookmarkEnd w:id="158"/>
      <w:bookmarkEnd w:id="159"/>
      <w:bookmarkEnd w:id="160"/>
      <w:bookmarkEnd w:id="161"/>
    </w:p>
    <w:p w14:paraId="7BC055E4">
      <w:pPr>
        <w:pStyle w:val="182"/>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62"/>
    <w:bookmarkEnd w:id="163"/>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2BEFB02E">
      <w:pPr>
        <w:numPr>
          <w:ilvl w:val="0"/>
          <w:numId w:val="16"/>
        </w:num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愿意按照比选文件中的一切要求，提供本项目的技术服务、商务需求，报价为人民币大写：</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；人民币小写：</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元。其中安全文明施工费暂定金额为：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元。该工程项目经理为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none"/>
          <w:shd w:val="clear" w:color="auto" w:fill="auto"/>
          <w:lang w:eastAsia="zh-CN"/>
          <w14:textFill>
            <w14:solidFill>
              <w14:schemeClr w14:val="tx1"/>
            </w14:solidFill>
          </w14:textFill>
        </w:rPr>
        <w:t>，质保期：</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none"/>
          <w:shd w:val="clear" w:color="auto" w:fill="auto"/>
          <w:lang w:val="en-US" w:eastAsia="zh-CN"/>
          <w14:textFill>
            <w14:solidFill>
              <w14:schemeClr w14:val="tx1"/>
            </w14:solidFill>
          </w14:textFill>
        </w:rPr>
        <w:t>天</w:t>
      </w:r>
      <w:r>
        <w:rPr>
          <w:rFonts w:hint="eastAsia" w:ascii="宋体" w:hAnsi="宋体" w:eastAsia="宋体" w:cs="宋体"/>
          <w:color w:val="000000" w:themeColor="text1"/>
          <w:sz w:val="24"/>
          <w:szCs w:val="24"/>
          <w:u w:val="none"/>
          <w:shd w:val="clear" w:color="auto" w:fill="auto"/>
          <w:lang w:eastAsia="zh-CN"/>
          <w14:textFill>
            <w14:solidFill>
              <w14:schemeClr w14:val="tx1"/>
            </w14:solidFill>
          </w14:textFill>
        </w:rPr>
        <w:t>，工期：</w:t>
      </w:r>
      <w:r>
        <w:rPr>
          <w:rFonts w:hint="eastAsia" w:ascii="宋体" w:hAnsi="宋体" w:eastAsia="宋体" w:cs="宋体"/>
          <w:color w:val="000000" w:themeColor="text1"/>
          <w:sz w:val="24"/>
          <w:szCs w:val="24"/>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none"/>
          <w:shd w:val="clear" w:color="auto" w:fill="auto"/>
          <w:lang w:val="en-US" w:eastAsia="zh-CN"/>
          <w14:textFill>
            <w14:solidFill>
              <w14:schemeClr w14:val="tx1"/>
            </w14:solidFill>
          </w14:textFill>
        </w:rPr>
        <w:t>天</w:t>
      </w:r>
      <w:r>
        <w:rPr>
          <w:rFonts w:hint="eastAsia" w:ascii="宋体" w:hAnsi="宋体" w:eastAsia="宋体" w:cs="宋体"/>
          <w:color w:val="000000" w:themeColor="text1"/>
          <w:sz w:val="24"/>
          <w:szCs w:val="24"/>
          <w:shd w:val="clear" w:color="auto" w:fill="auto"/>
          <w14:textFill>
            <w14:solidFill>
              <w14:schemeClr w14:val="tx1"/>
            </w14:solidFill>
          </w14:textFill>
        </w:rPr>
        <w:t>。按合同约定实施和完成承包工程，修补工程中的任何缺陷，工程质量达到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color w:val="000000" w:themeColor="text1"/>
          <w:sz w:val="24"/>
          <w:szCs w:val="24"/>
          <w:shd w:val="clear" w:color="auto" w:fill="auto"/>
          <w14:textFill>
            <w14:solidFill>
              <w14:schemeClr w14:val="tx1"/>
            </w14:solidFill>
          </w14:textFill>
        </w:rPr>
        <w:t>文件要求。</w:t>
      </w:r>
    </w:p>
    <w:p w14:paraId="68E90945">
      <w:pPr>
        <w:numPr>
          <w:ilvl w:val="0"/>
          <w:numId w:val="16"/>
        </w:num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，电子文档</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5DAAEC05">
      <w:pPr>
        <w:pStyle w:val="24"/>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bookmarkStart w:id="164" w:name="_Toc342913420"/>
      <w:bookmarkStart w:id="165" w:name="_Toc313888361"/>
      <w:bookmarkStart w:id="166" w:name="_Toc480979019"/>
      <w:bookmarkStart w:id="167" w:name="_Toc485108797"/>
      <w:bookmarkStart w:id="168" w:name="_Toc313008357"/>
    </w:p>
    <w:p w14:paraId="26BD9500">
      <w:pPr>
        <w:pStyle w:val="24"/>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6B186999">
      <w:pPr>
        <w:outlineLvl w:val="0"/>
        <w:rPr>
          <w:rFonts w:hint="eastAsia" w:ascii="宋体" w:hAnsi="宋体" w:eastAsia="宋体" w:cs="宋体"/>
          <w:b/>
          <w:color w:val="000000" w:themeColor="text1"/>
          <w:shd w:val="clear" w:color="auto" w:fill="auto"/>
          <w14:textFill>
            <w14:solidFill>
              <w14:schemeClr w14:val="tx1"/>
            </w14:solidFill>
          </w14:textFill>
        </w:rPr>
      </w:pPr>
      <w:bookmarkStart w:id="169" w:name="_Toc9883"/>
      <w:bookmarkStart w:id="170" w:name="_Toc12908"/>
    </w:p>
    <w:p w14:paraId="5DCC828F">
      <w:pPr>
        <w:pStyle w:val="39"/>
        <w:spacing w:line="360" w:lineRule="auto"/>
        <w:rPr>
          <w:rFonts w:hint="eastAsia" w:ascii="宋体" w:hAnsi="宋体" w:eastAsia="宋体" w:cs="宋体"/>
          <w:color w:val="000000" w:themeColor="text1"/>
          <w:kern w:val="2"/>
          <w:sz w:val="24"/>
          <w:szCs w:val="24"/>
          <w:shd w:val="clear" w:color="auto" w:fill="auto"/>
          <w:lang w:val="en-US" w:eastAsia="zh-CN" w:bidi="ar-SA"/>
          <w14:textFill>
            <w14:solidFill>
              <w14:schemeClr w14:val="tx1"/>
            </w14:solidFill>
          </w14:textFill>
        </w:rPr>
      </w:pPr>
    </w:p>
    <w:p w14:paraId="58C318C4">
      <w:pPr>
        <w:pStyle w:val="39"/>
        <w:spacing w:line="360" w:lineRule="auto"/>
        <w:rPr>
          <w:rFonts w:hint="eastAsia" w:ascii="宋体" w:hAnsi="宋体" w:eastAsia="宋体" w:cs="宋体"/>
          <w:color w:val="000000" w:themeColor="text1"/>
          <w:kern w:val="2"/>
          <w:sz w:val="24"/>
          <w:szCs w:val="24"/>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2"/>
          <w:sz w:val="24"/>
          <w:szCs w:val="24"/>
          <w:shd w:val="clear" w:color="auto" w:fill="auto"/>
          <w:lang w:val="en-US" w:eastAsia="zh-CN" w:bidi="ar-SA"/>
          <w14:textFill>
            <w14:solidFill>
              <w14:schemeClr w14:val="tx1"/>
            </w14:solidFill>
          </w14:textFill>
        </w:rPr>
        <w:t>根据本项目的工程量清单报价。</w:t>
      </w:r>
    </w:p>
    <w:p w14:paraId="40AA1061">
      <w:pPr>
        <w:rPr>
          <w:rFonts w:hint="eastAsia" w:ascii="宋体" w:hAnsi="宋体" w:eastAsia="宋体" w:cs="宋体"/>
          <w:b/>
          <w:color w:val="000000" w:themeColor="text1"/>
          <w:shd w:val="clear" w:color="auto" w:fill="auto"/>
          <w14:textFill>
            <w14:solidFill>
              <w14:schemeClr w14:val="tx1"/>
            </w14:solidFill>
          </w14:textFill>
        </w:rPr>
      </w:pPr>
    </w:p>
    <w:p w14:paraId="34425EF6">
      <w:pPr>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4"/>
      <w:bookmarkEnd w:id="165"/>
      <w:bookmarkEnd w:id="166"/>
      <w:bookmarkEnd w:id="167"/>
      <w:bookmarkEnd w:id="168"/>
      <w:bookmarkEnd w:id="169"/>
      <w:bookmarkEnd w:id="170"/>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71" w:name="_Toc313888362"/>
      <w:bookmarkStart w:id="172" w:name="_Toc13844"/>
      <w:bookmarkStart w:id="173" w:name="_Toc342913421"/>
      <w:bookmarkStart w:id="174" w:name="_Toc480979020"/>
      <w:bookmarkStart w:id="175" w:name="_Toc15203"/>
      <w:bookmarkStart w:id="176" w:name="_Toc313008358"/>
      <w:bookmarkStart w:id="177" w:name="_Toc485108798"/>
      <w:r>
        <w:rPr>
          <w:rFonts w:hint="eastAsia" w:ascii="宋体" w:hAnsi="宋体" w:eastAsia="宋体" w:cs="宋体"/>
          <w:b/>
          <w:color w:val="000000" w:themeColor="text1"/>
          <w:shd w:val="clear" w:color="auto" w:fill="auto"/>
          <w14:textFill>
            <w14:solidFill>
              <w14:schemeClr w14:val="tx1"/>
            </w14:solidFill>
          </w14:textFill>
        </w:rPr>
        <w:t>三、商务部分</w:t>
      </w:r>
      <w:bookmarkEnd w:id="171"/>
      <w:bookmarkEnd w:id="172"/>
      <w:bookmarkEnd w:id="173"/>
      <w:bookmarkEnd w:id="174"/>
      <w:bookmarkEnd w:id="175"/>
      <w:bookmarkEnd w:id="176"/>
      <w:bookmarkEnd w:id="177"/>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8"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8"/>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9" w:name="_Toc10896"/>
      <w:bookmarkStart w:id="180"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9"/>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81"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81"/>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82" w:name="_Toc23584"/>
      <w:bookmarkStart w:id="183"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82"/>
      <w:bookmarkEnd w:id="183"/>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80"/>
      <w:bookmarkStart w:id="184" w:name="_Toc313888363"/>
      <w:bookmarkStart w:id="185" w:name="_Toc313008359"/>
      <w:bookmarkStart w:id="186" w:name="_Toc342913422"/>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4"/>
      <w:bookmarkEnd w:id="185"/>
      <w:bookmarkEnd w:id="186"/>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7" w:name="OLE_LINK7"/>
      <w:bookmarkStart w:id="188" w:name="OLE_LINK4"/>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7"/>
    <w:bookmarkEnd w:id="188"/>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9" w:name="_Toc27212"/>
      <w:bookmarkStart w:id="190" w:name="_Toc31463"/>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9"/>
    <w:bookmarkEnd w:id="190"/>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7166E744">
      <w:pPr>
        <w:spacing w:line="360" w:lineRule="auto"/>
        <w:jc w:val="center"/>
        <w:outlineLvl w:val="2"/>
        <w:rPr>
          <w:rFonts w:hint="eastAsia" w:ascii="宋体" w:hAnsi="宋体" w:eastAsia="宋体" w:cs="宋体"/>
          <w:b/>
          <w:bCs/>
          <w:color w:val="000000" w:themeColor="text1"/>
          <w:sz w:val="24"/>
          <w:szCs w:val="24"/>
          <w:highlight w:val="none"/>
          <w14:textFill>
            <w14:solidFill>
              <w14:schemeClr w14:val="tx1"/>
            </w14:solidFill>
          </w14:textFill>
        </w:rPr>
      </w:pPr>
      <w:bookmarkStart w:id="191" w:name="_Toc1511"/>
      <w:r>
        <w:rPr>
          <w:rFonts w:hint="eastAsia" w:ascii="宋体" w:hAnsi="宋体" w:eastAsia="宋体" w:cs="宋体"/>
          <w:b/>
          <w:bCs/>
          <w:color w:val="000000" w:themeColor="text1"/>
          <w:sz w:val="24"/>
          <w:szCs w:val="24"/>
          <w:highlight w:val="none"/>
          <w14:textFill>
            <w14:solidFill>
              <w14:schemeClr w14:val="tx1"/>
            </w14:solidFill>
          </w14:textFill>
        </w:rPr>
        <w:t>中小企业声明函（</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工程</w:t>
      </w:r>
      <w:r>
        <w:rPr>
          <w:rFonts w:hint="eastAsia" w:ascii="宋体" w:hAnsi="宋体" w:eastAsia="宋体" w:cs="宋体"/>
          <w:b/>
          <w:bCs/>
          <w:color w:val="000000" w:themeColor="text1"/>
          <w:sz w:val="24"/>
          <w:szCs w:val="24"/>
          <w:highlight w:val="none"/>
          <w14:textFill>
            <w14:solidFill>
              <w14:schemeClr w14:val="tx1"/>
            </w14:solidFill>
          </w14:textFill>
        </w:rPr>
        <w:t>）</w:t>
      </w:r>
      <w:bookmarkEnd w:id="191"/>
    </w:p>
    <w:p w14:paraId="672F6DFC">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本公司（联合体）郑重声明，根据《政府采购促进中小企业发展管理办法》（财库﹝2020﹞46 号）的规定，本公司</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参加</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14:textFill>
            <w14:solidFill>
              <w14:schemeClr w14:val="tx1"/>
            </w14:solidFill>
          </w14:textFill>
        </w:rPr>
        <w:t>（单位名称）</w:t>
      </w:r>
      <w:r>
        <w:rPr>
          <w:rFonts w:hint="eastAsia" w:ascii="宋体" w:hAnsi="宋体" w:eastAsia="宋体" w:cs="宋体"/>
          <w:color w:val="000000" w:themeColor="text1"/>
          <w:kern w:val="0"/>
          <w:sz w:val="24"/>
          <w:szCs w:val="24"/>
          <w:highlight w:val="none"/>
          <w14:textFill>
            <w14:solidFill>
              <w14:schemeClr w14:val="tx1"/>
            </w14:solidFill>
          </w14:textFill>
        </w:rPr>
        <w:t>的</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14:textFill>
            <w14:solidFill>
              <w14:schemeClr w14:val="tx1"/>
            </w14:solidFill>
          </w14:textFill>
        </w:rPr>
        <w:t>（项目名称）</w:t>
      </w:r>
      <w:r>
        <w:rPr>
          <w:rFonts w:hint="eastAsia" w:ascii="宋体" w:hAnsi="宋体" w:eastAsia="宋体" w:cs="宋体"/>
          <w:color w:val="000000" w:themeColor="text1"/>
          <w:kern w:val="0"/>
          <w:sz w:val="24"/>
          <w:szCs w:val="24"/>
          <w:highlight w:val="none"/>
          <w14:textFill>
            <w14:solidFill>
              <w14:schemeClr w14:val="tx1"/>
            </w14:solidFill>
          </w14:textFill>
        </w:rPr>
        <w:t>采购活动，工程的施工单位全部为符合政策要求的中小企业。相关企业（含联合 体中的中小企业、签订分包意向协议的中小企业）的具体情况如下：</w:t>
      </w:r>
    </w:p>
    <w:p w14:paraId="6C827A13">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.（标的名称） </w:t>
      </w:r>
      <w:r>
        <w:rPr>
          <w:rFonts w:hint="eastAsia" w:ascii="宋体" w:hAnsi="宋体" w:eastAsia="宋体" w:cs="宋体"/>
          <w:color w:val="000000" w:themeColor="text1"/>
          <w:kern w:val="0"/>
          <w:sz w:val="24"/>
          <w:szCs w:val="24"/>
          <w:highlight w:val="none"/>
          <w14:textFill>
            <w14:solidFill>
              <w14:schemeClr w14:val="tx1"/>
            </w14:solidFill>
          </w14:textFill>
        </w:rPr>
        <w:t>，属于</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szCs w:val="24"/>
          <w:highlight w:val="none"/>
          <w14:textFill>
            <w14:solidFill>
              <w14:schemeClr w14:val="tx1"/>
            </w14:solidFill>
          </w14:textFill>
        </w:rPr>
        <w:t>；承建（承接）企业为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（企业名称） </w:t>
      </w:r>
      <w:r>
        <w:rPr>
          <w:rFonts w:hint="eastAsia" w:ascii="宋体" w:hAnsi="宋体" w:eastAsia="宋体" w:cs="宋体"/>
          <w:color w:val="000000" w:themeColor="text1"/>
          <w:kern w:val="0"/>
          <w:sz w:val="24"/>
          <w:szCs w:val="24"/>
          <w:highlight w:val="none"/>
          <w14:textFill>
            <w14:solidFill>
              <w14:schemeClr w14:val="tx1"/>
            </w14:solidFill>
          </w14:textFill>
        </w:rPr>
        <w:t>，从业人员</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人，营业收入为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万元，资产总额为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万元，属于</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（中型企业、小型企业、微型企业）   </w:t>
      </w:r>
      <w:r>
        <w:rPr>
          <w:rFonts w:hint="eastAsia" w:ascii="宋体" w:hAnsi="宋体" w:eastAsia="宋体" w:cs="宋体"/>
          <w:color w:val="000000" w:themeColor="text1"/>
          <w:kern w:val="0"/>
          <w:sz w:val="24"/>
          <w:szCs w:val="24"/>
          <w:highlight w:val="none"/>
          <w14:textFill>
            <w14:solidFill>
              <w14:schemeClr w14:val="tx1"/>
            </w14:solidFill>
          </w14:textFill>
        </w:rPr>
        <w:t xml:space="preserve">； </w:t>
      </w:r>
    </w:p>
    <w:p w14:paraId="2B5F015E">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（标的名称）  </w:t>
      </w:r>
      <w:r>
        <w:rPr>
          <w:rFonts w:hint="eastAsia" w:ascii="宋体" w:hAnsi="宋体" w:eastAsia="宋体" w:cs="宋体"/>
          <w:color w:val="000000" w:themeColor="text1"/>
          <w:kern w:val="0"/>
          <w:sz w:val="24"/>
          <w:szCs w:val="24"/>
          <w:highlight w:val="none"/>
          <w14:textFill>
            <w14:solidFill>
              <w14:schemeClr w14:val="tx1"/>
            </w14:solidFill>
          </w14:textFill>
        </w:rPr>
        <w:t>，属于</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（采购文件中明确的所属行业）   </w:t>
      </w:r>
      <w:r>
        <w:rPr>
          <w:rFonts w:hint="eastAsia" w:ascii="宋体" w:hAnsi="宋体" w:eastAsia="宋体" w:cs="宋体"/>
          <w:color w:val="000000" w:themeColor="text1"/>
          <w:kern w:val="0"/>
          <w:sz w:val="24"/>
          <w:szCs w:val="24"/>
          <w:highlight w:val="none"/>
          <w14:textFill>
            <w14:solidFill>
              <w14:schemeClr w14:val="tx1"/>
            </w14:solidFill>
          </w14:textFill>
        </w:rPr>
        <w:t>；承建（承接）企业为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（企业名称）  </w:t>
      </w:r>
      <w:r>
        <w:rPr>
          <w:rFonts w:hint="eastAsia" w:ascii="宋体" w:hAnsi="宋体" w:eastAsia="宋体" w:cs="宋体"/>
          <w:color w:val="000000" w:themeColor="text1"/>
          <w:kern w:val="0"/>
          <w:sz w:val="24"/>
          <w:szCs w:val="24"/>
          <w:highlight w:val="none"/>
          <w14:textFill>
            <w14:solidFill>
              <w14:schemeClr w14:val="tx1"/>
            </w14:solidFill>
          </w14:textFill>
        </w:rPr>
        <w:t>，从业人员</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人，营业收入为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万元，资产总额为</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万元，属于</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i/>
          <w:iCs/>
          <w:color w:val="000000" w:themeColor="text1"/>
          <w:kern w:val="0"/>
          <w:sz w:val="24"/>
          <w:szCs w:val="24"/>
          <w:highlight w:val="none"/>
          <w:u w:val="single"/>
          <w14:textFill>
            <w14:solidFill>
              <w14:schemeClr w14:val="tx1"/>
            </w14:solidFill>
          </w14:textFill>
        </w:rPr>
        <w:t xml:space="preserve">（中型企业、小型企业、微型企业）  </w:t>
      </w:r>
      <w:r>
        <w:rPr>
          <w:rFonts w:hint="eastAsia" w:ascii="宋体" w:hAnsi="宋体" w:eastAsia="宋体" w:cs="宋体"/>
          <w:color w:val="000000" w:themeColor="text1"/>
          <w:kern w:val="0"/>
          <w:sz w:val="24"/>
          <w:szCs w:val="24"/>
          <w:highlight w:val="none"/>
          <w14:textFill>
            <w14:solidFill>
              <w14:schemeClr w14:val="tx1"/>
            </w14:solidFill>
          </w14:textFill>
        </w:rPr>
        <w:t xml:space="preserve">； </w:t>
      </w:r>
    </w:p>
    <w:p w14:paraId="709CB5B0">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p>
    <w:p w14:paraId="19801633">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以上企业，不属于大企业的分支机构，不存在控股股东 为大企业的情形，也不存在与大企业的负责人为同一人的情形。</w:t>
      </w:r>
    </w:p>
    <w:p w14:paraId="6A7D285E">
      <w:pPr>
        <w:widowControl/>
        <w:autoSpaceDE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xml:space="preserve">本企业对上述声明内容的真实性负责。如有虚假，将依 法承担相应责任。 </w:t>
      </w:r>
    </w:p>
    <w:p w14:paraId="34ACABF4">
      <w:pPr>
        <w:widowControl/>
        <w:autoSpaceDE w:val="0"/>
        <w:spacing w:line="360" w:lineRule="auto"/>
        <w:ind w:firstLine="4080" w:firstLineChars="1700"/>
        <w:jc w:val="left"/>
        <w:rPr>
          <w:rFonts w:hint="eastAsia" w:ascii="宋体" w:hAnsi="宋体" w:eastAsia="宋体" w:cs="宋体"/>
          <w:color w:val="000000" w:themeColor="text1"/>
          <w:kern w:val="0"/>
          <w:sz w:val="24"/>
          <w:szCs w:val="24"/>
          <w:highlight w:val="none"/>
          <w14:textFill>
            <w14:solidFill>
              <w14:schemeClr w14:val="tx1"/>
            </w14:solidFill>
          </w14:textFill>
        </w:rPr>
      </w:pPr>
    </w:p>
    <w:p w14:paraId="702F3FFD">
      <w:pPr>
        <w:widowControl/>
        <w:autoSpaceDE w:val="0"/>
        <w:spacing w:line="360" w:lineRule="auto"/>
        <w:ind w:firstLine="4080" w:firstLineChars="1700"/>
        <w:jc w:val="left"/>
        <w:rPr>
          <w:rFonts w:hint="eastAsia" w:ascii="宋体" w:hAnsi="宋体" w:eastAsia="宋体" w:cs="宋体"/>
          <w:color w:val="000000" w:themeColor="text1"/>
          <w:kern w:val="0"/>
          <w:sz w:val="24"/>
          <w:szCs w:val="24"/>
          <w:highlight w:val="none"/>
          <w14:textFill>
            <w14:solidFill>
              <w14:schemeClr w14:val="tx1"/>
            </w14:solidFill>
          </w14:textFill>
        </w:rPr>
      </w:pPr>
    </w:p>
    <w:p w14:paraId="6DB4091D">
      <w:pPr>
        <w:widowControl/>
        <w:autoSpaceDE w:val="0"/>
        <w:spacing w:line="360" w:lineRule="auto"/>
        <w:ind w:firstLine="4080" w:firstLineChars="1700"/>
        <w:jc w:val="left"/>
        <w:rPr>
          <w:rFonts w:hint="eastAsia" w:ascii="宋体" w:hAnsi="宋体" w:eastAsia="宋体" w:cs="宋体"/>
          <w:color w:val="000000" w:themeColor="text1"/>
          <w:kern w:val="0"/>
          <w:sz w:val="24"/>
          <w:szCs w:val="24"/>
          <w:highlight w:val="none"/>
          <w14:textFill>
            <w14:solidFill>
              <w14:schemeClr w14:val="tx1"/>
            </w14:solidFill>
          </w14:textFill>
        </w:rPr>
      </w:pPr>
    </w:p>
    <w:p w14:paraId="0C0A30E4">
      <w:pPr>
        <w:widowControl/>
        <w:autoSpaceDE w:val="0"/>
        <w:spacing w:line="360" w:lineRule="auto"/>
        <w:ind w:firstLine="4320" w:firstLineChars="18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 xml:space="preserve">企业名称（盖章）： </w:t>
      </w:r>
    </w:p>
    <w:p w14:paraId="03143163">
      <w:pPr>
        <w:spacing w:line="360" w:lineRule="auto"/>
        <w:ind w:firstLine="4320" w:firstLineChars="18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日 期：</w:t>
      </w:r>
    </w:p>
    <w:p w14:paraId="299B3355">
      <w:pPr>
        <w:tabs>
          <w:tab w:val="left" w:pos="6300"/>
        </w:tabs>
        <w:snapToGrid w:val="0"/>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p>
    <w:p w14:paraId="60CB65EB">
      <w:pPr>
        <w:tabs>
          <w:tab w:val="left" w:pos="6300"/>
        </w:tabs>
        <w:snapToGrid w:val="0"/>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填写时应注意以下事项：</w:t>
      </w:r>
    </w:p>
    <w:p w14:paraId="0DC2DE68">
      <w:pPr>
        <w:tabs>
          <w:tab w:val="left" w:pos="6300"/>
        </w:tabs>
        <w:snapToGrid w:val="0"/>
        <w:spacing w:line="360" w:lineRule="auto"/>
        <w:ind w:firstLine="480" w:firstLineChars="20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1.从业人员、营业收入、资产总额填报上一年度数据，无上一年度数据的新成立企业可不填报。</w:t>
      </w:r>
    </w:p>
    <w:p w14:paraId="3CC510C6">
      <w:pPr>
        <w:tabs>
          <w:tab w:val="left" w:pos="6300"/>
        </w:tabs>
        <w:snapToGrid w:val="0"/>
        <w:spacing w:line="360" w:lineRule="auto"/>
        <w:ind w:firstLine="482" w:firstLineChars="200"/>
        <w:jc w:val="left"/>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b/>
          <w:color w:val="000000" w:themeColor="text1"/>
          <w:kern w:val="0"/>
          <w:sz w:val="24"/>
          <w:szCs w:val="24"/>
          <w:highlight w:val="none"/>
          <w:u w:val="single"/>
          <w14:textFill>
            <w14:solidFill>
              <w14:schemeClr w14:val="tx1"/>
            </w14:solidFill>
          </w14:textFill>
        </w:rPr>
        <w:t>2.中小企业应当按照《中小企业划型标准规定》（工信部联企业〔2011〕300号），如实填写并提交《中小企业声明函》。</w:t>
      </w:r>
    </w:p>
    <w:p w14:paraId="0176B193">
      <w:pPr>
        <w:tabs>
          <w:tab w:val="left" w:pos="6300"/>
        </w:tabs>
        <w:snapToGrid w:val="0"/>
        <w:spacing w:line="360" w:lineRule="auto"/>
        <w:ind w:firstLine="482" w:firstLineChars="200"/>
        <w:jc w:val="left"/>
        <w:rPr>
          <w:rFonts w:hint="eastAsia" w:ascii="宋体" w:hAnsi="宋体" w:eastAsia="宋体" w:cs="宋体"/>
          <w:b/>
          <w:color w:val="000000" w:themeColor="text1"/>
          <w:kern w:val="0"/>
          <w:sz w:val="24"/>
          <w:szCs w:val="24"/>
          <w:highlight w:val="none"/>
          <w:u w:val="single"/>
          <w14:textFill>
            <w14:solidFill>
              <w14:schemeClr w14:val="tx1"/>
            </w14:solidFill>
          </w14:textFill>
        </w:rPr>
      </w:pPr>
      <w:r>
        <w:rPr>
          <w:rFonts w:hint="eastAsia" w:ascii="宋体" w:hAnsi="宋体" w:eastAsia="宋体" w:cs="宋体"/>
          <w:b/>
          <w:color w:val="000000" w:themeColor="text1"/>
          <w:kern w:val="0"/>
          <w:sz w:val="24"/>
          <w:szCs w:val="24"/>
          <w:highlight w:val="none"/>
          <w:u w:val="single"/>
          <w14:textFill>
            <w14:solidFill>
              <w14:schemeClr w14:val="tx1"/>
            </w14:solidFill>
          </w14:textFill>
        </w:rPr>
        <w:t>3.供应商填写《中小企业声明函》中所属行业时，应与采购文件第一篇“采购标的对应的中小企业划分标准所属行业”中填写的所属行业一致。</w:t>
      </w:r>
    </w:p>
    <w:p w14:paraId="6AB5ADB3">
      <w:pPr>
        <w:tabs>
          <w:tab w:val="left" w:pos="6300"/>
        </w:tabs>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p>
    <w:p w14:paraId="0591F500">
      <w:pPr>
        <w:tabs>
          <w:tab w:val="left" w:pos="6300"/>
        </w:tabs>
        <w:snapToGrid w:val="0"/>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注：各行业划型标准：</w:t>
      </w:r>
    </w:p>
    <w:p w14:paraId="42242008">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29B6625F">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3B868D3">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F4AF089">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F05ACFB">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445BA9A">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239CDC9">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77BAD96">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AB87C8A">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A153B97">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A06B4D">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2774C3E">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1D474F9">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1179B25">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AE59335">
      <w:pPr>
        <w:tabs>
          <w:tab w:val="left" w:pos="6300"/>
        </w:tabs>
        <w:snapToGrid w:val="0"/>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829689B">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r>
        <w:rPr>
          <w:rFonts w:hint="eastAsia" w:ascii="宋体" w:hAnsi="宋体" w:cs="宋体"/>
          <w:color w:val="000000" w:themeColor="text1"/>
          <w:highlight w:val="none"/>
          <w14:textFill>
            <w14:solidFill>
              <w14:schemeClr w14:val="tx1"/>
            </w14:solidFill>
          </w14:textFill>
        </w:rPr>
        <w:br w:type="page"/>
      </w: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92"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92"/>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3"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3"/>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4"/>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4"/>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BDBE2D3A-1D7C-46FB-8BCB-3F102446E9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6"/>
      <w:ind w:firstLine="48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6"/>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6"/>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6"/>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6"/>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8"/>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8"/>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8"/>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8"/>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8"/>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58CEC"/>
    <w:multiLevelType w:val="singleLevel"/>
    <w:tmpl w:val="BEB58CEC"/>
    <w:lvl w:ilvl="0" w:tentative="0">
      <w:start w:val="2"/>
      <w:numFmt w:val="chineseCounting"/>
      <w:suff w:val="nothing"/>
      <w:lvlText w:val="%1、"/>
      <w:lvlJc w:val="left"/>
      <w:rPr>
        <w:rFonts w:hint="eastAsia"/>
      </w:rPr>
    </w:lvl>
  </w:abstractNum>
  <w:abstractNum w:abstractNumId="1">
    <w:nsid w:val="00000009"/>
    <w:multiLevelType w:val="multilevel"/>
    <w:tmpl w:val="00000009"/>
    <w:lvl w:ilvl="0" w:tentative="0">
      <w:start w:val="1"/>
      <w:numFmt w:val="upperLetter"/>
      <w:pStyle w:val="207"/>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6"/>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20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223"/>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32"/>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0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5"/>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55"/>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2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5C83C95"/>
    <w:multiLevelType w:val="singleLevel"/>
    <w:tmpl w:val="35C83C95"/>
    <w:lvl w:ilvl="0" w:tentative="0">
      <w:start w:val="1"/>
      <w:numFmt w:val="decimal"/>
      <w:suff w:val="nothing"/>
      <w:lvlText w:val="%1、"/>
      <w:lvlJc w:val="left"/>
    </w:lvl>
  </w:abstractNum>
  <w:abstractNum w:abstractNumId="14">
    <w:nsid w:val="46EE90D8"/>
    <w:multiLevelType w:val="singleLevel"/>
    <w:tmpl w:val="46EE90D8"/>
    <w:lvl w:ilvl="0" w:tentative="0">
      <w:start w:val="3"/>
      <w:numFmt w:val="decimal"/>
      <w:suff w:val="nothing"/>
      <w:lvlText w:val="%1、"/>
      <w:lvlJc w:val="left"/>
    </w:lvl>
  </w:abstractNum>
  <w:abstractNum w:abstractNumId="15">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
  </w:num>
  <w:num w:numId="3">
    <w:abstractNumId w:val="10"/>
  </w:num>
  <w:num w:numId="4">
    <w:abstractNumId w:val="7"/>
  </w:num>
  <w:num w:numId="5">
    <w:abstractNumId w:val="6"/>
  </w:num>
  <w:num w:numId="6">
    <w:abstractNumId w:val="2"/>
  </w:num>
  <w:num w:numId="7">
    <w:abstractNumId w:val="8"/>
  </w:num>
  <w:num w:numId="8">
    <w:abstractNumId w:val="1"/>
  </w:num>
  <w:num w:numId="9">
    <w:abstractNumId w:val="3"/>
  </w:num>
  <w:num w:numId="10">
    <w:abstractNumId w:val="12"/>
  </w:num>
  <w:num w:numId="11">
    <w:abstractNumId w:val="5"/>
  </w:num>
  <w:num w:numId="12">
    <w:abstractNumId w:val="11"/>
  </w:num>
  <w:num w:numId="13">
    <w:abstractNumId w:val="0"/>
  </w:num>
  <w:num w:numId="14">
    <w:abstractNumId w:val="14"/>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5230B2"/>
    <w:rsid w:val="07911761"/>
    <w:rsid w:val="07BB7C23"/>
    <w:rsid w:val="07C5765D"/>
    <w:rsid w:val="07F26429"/>
    <w:rsid w:val="084C34CD"/>
    <w:rsid w:val="08FB2C0B"/>
    <w:rsid w:val="094176DB"/>
    <w:rsid w:val="0A0A6350"/>
    <w:rsid w:val="0ACB5503"/>
    <w:rsid w:val="0ACF458A"/>
    <w:rsid w:val="0AE020D6"/>
    <w:rsid w:val="0AFB7145"/>
    <w:rsid w:val="0B4E6CB9"/>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624F52"/>
    <w:rsid w:val="11782A26"/>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65822"/>
    <w:rsid w:val="18675712"/>
    <w:rsid w:val="188B43F5"/>
    <w:rsid w:val="18E50010"/>
    <w:rsid w:val="18F71640"/>
    <w:rsid w:val="19394057"/>
    <w:rsid w:val="199C2358"/>
    <w:rsid w:val="19B7492C"/>
    <w:rsid w:val="19DE7211"/>
    <w:rsid w:val="19EF5205"/>
    <w:rsid w:val="1A511E59"/>
    <w:rsid w:val="1A705757"/>
    <w:rsid w:val="1AFE2259"/>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A26EA9"/>
    <w:rsid w:val="28CD4235"/>
    <w:rsid w:val="28D01566"/>
    <w:rsid w:val="28E31299"/>
    <w:rsid w:val="291E1C19"/>
    <w:rsid w:val="293D6BFB"/>
    <w:rsid w:val="29430470"/>
    <w:rsid w:val="29A81CF0"/>
    <w:rsid w:val="2A0812C8"/>
    <w:rsid w:val="2A9E4AC6"/>
    <w:rsid w:val="2B301DEA"/>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0FC77ED"/>
    <w:rsid w:val="3100742C"/>
    <w:rsid w:val="31CA4358"/>
    <w:rsid w:val="31FA7479"/>
    <w:rsid w:val="32050A97"/>
    <w:rsid w:val="32284BF5"/>
    <w:rsid w:val="325029E4"/>
    <w:rsid w:val="32DA1DD4"/>
    <w:rsid w:val="33323C73"/>
    <w:rsid w:val="333F5C66"/>
    <w:rsid w:val="3361798A"/>
    <w:rsid w:val="33861085"/>
    <w:rsid w:val="33C9215E"/>
    <w:rsid w:val="34477E1A"/>
    <w:rsid w:val="34B127EC"/>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911C4D"/>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C4F6F1A"/>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B557B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2F3601"/>
    <w:rsid w:val="437470EA"/>
    <w:rsid w:val="437C12A7"/>
    <w:rsid w:val="43F81C45"/>
    <w:rsid w:val="441F4671"/>
    <w:rsid w:val="444565A3"/>
    <w:rsid w:val="447A6AFE"/>
    <w:rsid w:val="44F5304E"/>
    <w:rsid w:val="45824D6D"/>
    <w:rsid w:val="45AC0F39"/>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586F55"/>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CC2838"/>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A703CD4"/>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BB2E79"/>
    <w:rsid w:val="68EA74FF"/>
    <w:rsid w:val="6972525B"/>
    <w:rsid w:val="69C211FB"/>
    <w:rsid w:val="69E11C35"/>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6F651FD5"/>
    <w:rsid w:val="70964089"/>
    <w:rsid w:val="70E64A50"/>
    <w:rsid w:val="71231A63"/>
    <w:rsid w:val="714B6E37"/>
    <w:rsid w:val="71C72BEE"/>
    <w:rsid w:val="72AA2579"/>
    <w:rsid w:val="73614D85"/>
    <w:rsid w:val="7363682B"/>
    <w:rsid w:val="739465A0"/>
    <w:rsid w:val="73A82490"/>
    <w:rsid w:val="73AA3664"/>
    <w:rsid w:val="73B34AD5"/>
    <w:rsid w:val="73D42B6E"/>
    <w:rsid w:val="743B3E3F"/>
    <w:rsid w:val="74E41D61"/>
    <w:rsid w:val="752C75DE"/>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98388D"/>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99"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70"/>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5">
    <w:name w:val="heading 2"/>
    <w:basedOn w:val="1"/>
    <w:next w:val="1"/>
    <w:link w:val="71"/>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6">
    <w:name w:val="heading 3"/>
    <w:basedOn w:val="1"/>
    <w:next w:val="1"/>
    <w:link w:val="72"/>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7">
    <w:name w:val="heading 4"/>
    <w:basedOn w:val="1"/>
    <w:next w:val="1"/>
    <w:link w:val="73"/>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8">
    <w:name w:val="heading 5"/>
    <w:basedOn w:val="1"/>
    <w:next w:val="1"/>
    <w:link w:val="74"/>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9">
    <w:name w:val="heading 6"/>
    <w:basedOn w:val="1"/>
    <w:next w:val="1"/>
    <w:link w:val="75"/>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10">
    <w:name w:val="heading 7"/>
    <w:basedOn w:val="1"/>
    <w:next w:val="1"/>
    <w:link w:val="76"/>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11">
    <w:name w:val="heading 8"/>
    <w:basedOn w:val="1"/>
    <w:next w:val="1"/>
    <w:link w:val="77"/>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2">
    <w:name w:val="heading 9"/>
    <w:basedOn w:val="1"/>
    <w:next w:val="1"/>
    <w:link w:val="78"/>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1">
    <w:name w:val="Default Paragraph Font"/>
    <w:autoRedefine/>
    <w:unhideWhenUsed/>
    <w:qFormat/>
    <w:uiPriority w:val="1"/>
  </w:style>
  <w:style w:type="table" w:default="1" w:styleId="5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link w:val="105"/>
    <w:autoRedefine/>
    <w:qFormat/>
    <w:uiPriority w:val="0"/>
    <w:pPr>
      <w:spacing w:after="120" w:line="240" w:lineRule="auto"/>
      <w:ind w:left="420" w:leftChars="200" w:firstLine="420" w:firstLineChars="200"/>
    </w:pPr>
  </w:style>
  <w:style w:type="paragraph" w:styleId="3">
    <w:name w:val="Body Text Indent"/>
    <w:basedOn w:val="1"/>
    <w:link w:val="106"/>
    <w:autoRedefine/>
    <w:qFormat/>
    <w:uiPriority w:val="0"/>
    <w:pPr>
      <w:spacing w:line="700" w:lineRule="exact"/>
      <w:ind w:left="960"/>
    </w:pPr>
    <w:rPr>
      <w:sz w:val="44"/>
    </w:rPr>
  </w:style>
  <w:style w:type="paragraph" w:styleId="13">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4">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5">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6">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7">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8">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9">
    <w:name w:val="Document Map"/>
    <w:basedOn w:val="1"/>
    <w:link w:val="120"/>
    <w:autoRedefine/>
    <w:qFormat/>
    <w:uiPriority w:val="0"/>
    <w:pPr>
      <w:shd w:val="clear" w:color="auto" w:fill="000080"/>
    </w:pPr>
    <w:rPr>
      <w:rFonts w:ascii="Times New Roman" w:hAnsi="Times New Roman" w:eastAsia="宋体" w:cs="Times New Roman"/>
      <w:sz w:val="28"/>
      <w:szCs w:val="20"/>
    </w:rPr>
  </w:style>
  <w:style w:type="paragraph" w:styleId="20">
    <w:name w:val="toa heading"/>
    <w:basedOn w:val="1"/>
    <w:next w:val="1"/>
    <w:autoRedefine/>
    <w:qFormat/>
    <w:uiPriority w:val="0"/>
    <w:pPr>
      <w:spacing w:before="120"/>
    </w:pPr>
    <w:rPr>
      <w:rFonts w:ascii="Arial" w:hAnsi="Arial" w:eastAsia="宋体" w:cs="Times New Roman"/>
      <w:sz w:val="24"/>
      <w:szCs w:val="20"/>
    </w:rPr>
  </w:style>
  <w:style w:type="paragraph" w:styleId="21">
    <w:name w:val="annotation text"/>
    <w:basedOn w:val="1"/>
    <w:link w:val="132"/>
    <w:autoRedefine/>
    <w:unhideWhenUsed/>
    <w:qFormat/>
    <w:uiPriority w:val="0"/>
    <w:pPr>
      <w:jc w:val="left"/>
    </w:pPr>
  </w:style>
  <w:style w:type="paragraph" w:styleId="22">
    <w:name w:val="Body Text 3"/>
    <w:basedOn w:val="1"/>
    <w:link w:val="123"/>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3">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4">
    <w:name w:val="Body Text"/>
    <w:basedOn w:val="1"/>
    <w:next w:val="1"/>
    <w:link w:val="125"/>
    <w:autoRedefine/>
    <w:qFormat/>
    <w:uiPriority w:val="0"/>
    <w:rPr>
      <w:rFonts w:ascii="仿宋_GB2312" w:hAnsi="Times New Roman" w:eastAsia="仿宋_GB2312" w:cs="Times New Roman"/>
      <w:sz w:val="32"/>
      <w:szCs w:val="20"/>
    </w:rPr>
  </w:style>
  <w:style w:type="paragraph" w:styleId="25">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6">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7">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8">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9">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30">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1">
    <w:name w:val="Plain Text"/>
    <w:basedOn w:val="1"/>
    <w:link w:val="93"/>
    <w:autoRedefine/>
    <w:qFormat/>
    <w:uiPriority w:val="0"/>
    <w:rPr>
      <w:rFonts w:ascii="宋体" w:hAnsi="Courier New"/>
    </w:rPr>
  </w:style>
  <w:style w:type="paragraph" w:styleId="32">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3">
    <w:name w:val="Date"/>
    <w:basedOn w:val="1"/>
    <w:next w:val="1"/>
    <w:link w:val="109"/>
    <w:autoRedefine/>
    <w:qFormat/>
    <w:uiPriority w:val="0"/>
    <w:rPr>
      <w:sz w:val="28"/>
    </w:rPr>
  </w:style>
  <w:style w:type="paragraph" w:styleId="34">
    <w:name w:val="Body Text Indent 2"/>
    <w:basedOn w:val="1"/>
    <w:link w:val="79"/>
    <w:autoRedefine/>
    <w:qFormat/>
    <w:uiPriority w:val="0"/>
    <w:pPr>
      <w:snapToGrid w:val="0"/>
      <w:spacing w:line="560" w:lineRule="atLeast"/>
      <w:ind w:firstLine="540"/>
    </w:pPr>
    <w:rPr>
      <w:sz w:val="28"/>
    </w:rPr>
  </w:style>
  <w:style w:type="paragraph" w:styleId="35">
    <w:name w:val="Balloon Text"/>
    <w:basedOn w:val="1"/>
    <w:link w:val="134"/>
    <w:autoRedefine/>
    <w:qFormat/>
    <w:uiPriority w:val="0"/>
    <w:rPr>
      <w:rFonts w:ascii="Times New Roman" w:hAnsi="Times New Roman" w:eastAsia="宋体" w:cs="Times New Roman"/>
      <w:sz w:val="18"/>
      <w:szCs w:val="20"/>
    </w:rPr>
  </w:style>
  <w:style w:type="paragraph" w:styleId="36">
    <w:name w:val="footer"/>
    <w:basedOn w:val="1"/>
    <w:link w:val="107"/>
    <w:autoRedefine/>
    <w:qFormat/>
    <w:uiPriority w:val="99"/>
    <w:pPr>
      <w:tabs>
        <w:tab w:val="center" w:pos="4153"/>
        <w:tab w:val="right" w:pos="8306"/>
      </w:tabs>
      <w:snapToGrid w:val="0"/>
      <w:jc w:val="left"/>
    </w:pPr>
    <w:rPr>
      <w:sz w:val="18"/>
    </w:rPr>
  </w:style>
  <w:style w:type="paragraph" w:styleId="37">
    <w:name w:val="envelope return"/>
    <w:basedOn w:val="1"/>
    <w:qFormat/>
    <w:uiPriority w:val="99"/>
    <w:pPr>
      <w:snapToGrid w:val="0"/>
    </w:pPr>
    <w:rPr>
      <w:rFonts w:ascii="Arial" w:hAnsi="Arial"/>
      <w:szCs w:val="24"/>
    </w:rPr>
  </w:style>
  <w:style w:type="paragraph" w:styleId="38">
    <w:name w:val="header"/>
    <w:basedOn w:val="1"/>
    <w:link w:val="118"/>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9">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40">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41">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2">
    <w:name w:val="footnote text"/>
    <w:basedOn w:val="1"/>
    <w:link w:val="80"/>
    <w:autoRedefine/>
    <w:qFormat/>
    <w:uiPriority w:val="0"/>
    <w:pPr>
      <w:spacing w:line="360" w:lineRule="auto"/>
    </w:pPr>
    <w:rPr>
      <w:sz w:val="18"/>
    </w:rPr>
  </w:style>
  <w:style w:type="paragraph" w:styleId="43">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4">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5">
    <w:name w:val="Body Text Indent 3"/>
    <w:basedOn w:val="1"/>
    <w:link w:val="122"/>
    <w:autoRedefine/>
    <w:qFormat/>
    <w:uiPriority w:val="0"/>
    <w:pPr>
      <w:spacing w:line="360" w:lineRule="auto"/>
      <w:ind w:firstLine="632"/>
    </w:pPr>
    <w:rPr>
      <w:rFonts w:ascii="黑体" w:hAnsi="Times New Roman" w:eastAsia="黑体" w:cs="Times New Roman"/>
      <w:sz w:val="28"/>
      <w:szCs w:val="20"/>
    </w:rPr>
  </w:style>
  <w:style w:type="paragraph" w:styleId="46">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7">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8">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9">
    <w:name w:val="Body Text 2"/>
    <w:basedOn w:val="1"/>
    <w:link w:val="124"/>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50">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51">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2">
    <w:name w:val="HTML Preformatted"/>
    <w:basedOn w:val="1"/>
    <w:link w:val="11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3">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4">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5">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6">
    <w:name w:val="Title"/>
    <w:basedOn w:val="1"/>
    <w:link w:val="128"/>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7">
    <w:name w:val="annotation subject"/>
    <w:basedOn w:val="21"/>
    <w:next w:val="21"/>
    <w:link w:val="81"/>
    <w:autoRedefine/>
    <w:qFormat/>
    <w:uiPriority w:val="0"/>
    <w:rPr>
      <w:sz w:val="24"/>
    </w:rPr>
  </w:style>
  <w:style w:type="paragraph" w:styleId="58">
    <w:name w:val="Body Text First Indent"/>
    <w:basedOn w:val="24"/>
    <w:link w:val="135"/>
    <w:autoRedefine/>
    <w:qFormat/>
    <w:uiPriority w:val="0"/>
    <w:pPr>
      <w:spacing w:line="360" w:lineRule="auto"/>
      <w:ind w:firstLine="420"/>
    </w:pPr>
    <w:rPr>
      <w:rFonts w:ascii="宋体" w:hAnsi="宋体" w:eastAsia="宋体" w:cs="Times New Roman"/>
      <w:sz w:val="24"/>
      <w:szCs w:val="20"/>
    </w:rPr>
  </w:style>
  <w:style w:type="table" w:styleId="60">
    <w:name w:val="Table Grid"/>
    <w:basedOn w:val="5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autoRedefine/>
    <w:qFormat/>
    <w:uiPriority w:val="0"/>
    <w:rPr>
      <w:b/>
    </w:rPr>
  </w:style>
  <w:style w:type="character" w:styleId="63">
    <w:name w:val="page number"/>
    <w:basedOn w:val="61"/>
    <w:autoRedefine/>
    <w:qFormat/>
    <w:uiPriority w:val="0"/>
  </w:style>
  <w:style w:type="character" w:styleId="64">
    <w:name w:val="FollowedHyperlink"/>
    <w:autoRedefine/>
    <w:qFormat/>
    <w:uiPriority w:val="0"/>
    <w:rPr>
      <w:color w:val="800080"/>
      <w:u w:val="single"/>
    </w:rPr>
  </w:style>
  <w:style w:type="character" w:styleId="65">
    <w:name w:val="Emphasis"/>
    <w:autoRedefine/>
    <w:qFormat/>
    <w:uiPriority w:val="0"/>
    <w:rPr>
      <w:i/>
    </w:rPr>
  </w:style>
  <w:style w:type="character" w:styleId="66">
    <w:name w:val="Hyperlink"/>
    <w:autoRedefine/>
    <w:qFormat/>
    <w:uiPriority w:val="99"/>
    <w:rPr>
      <w:color w:val="0000FF"/>
      <w:u w:val="single"/>
    </w:rPr>
  </w:style>
  <w:style w:type="character" w:styleId="67">
    <w:name w:val="annotation reference"/>
    <w:autoRedefine/>
    <w:qFormat/>
    <w:uiPriority w:val="0"/>
    <w:rPr>
      <w:sz w:val="21"/>
      <w:szCs w:val="21"/>
    </w:rPr>
  </w:style>
  <w:style w:type="character" w:styleId="68">
    <w:name w:val="footnote reference"/>
    <w:autoRedefine/>
    <w:qFormat/>
    <w:uiPriority w:val="0"/>
    <w:rPr>
      <w:position w:val="6"/>
      <w:sz w:val="14"/>
      <w:vertAlign w:val="superscript"/>
    </w:rPr>
  </w:style>
  <w:style w:type="paragraph" w:styleId="69">
    <w:name w:val="Quote"/>
    <w:basedOn w:val="1"/>
    <w:next w:val="1"/>
    <w:qFormat/>
    <w:uiPriority w:val="29"/>
    <w:pPr>
      <w:spacing w:beforeLines="50" w:afterLines="50" w:line="360" w:lineRule="auto"/>
    </w:pPr>
    <w:rPr>
      <w:i/>
      <w:iCs/>
      <w:color w:val="000000"/>
      <w:szCs w:val="24"/>
      <w:lang w:val="zh-CN"/>
    </w:rPr>
  </w:style>
  <w:style w:type="character" w:customStyle="1" w:styleId="70">
    <w:name w:val="标题 1 Char"/>
    <w:basedOn w:val="61"/>
    <w:link w:val="4"/>
    <w:autoRedefine/>
    <w:qFormat/>
    <w:uiPriority w:val="0"/>
    <w:rPr>
      <w:rFonts w:ascii="宋体" w:hAnsi="Times New Roman" w:eastAsia="宋体" w:cs="Times New Roman"/>
      <w:sz w:val="28"/>
      <w:szCs w:val="20"/>
    </w:rPr>
  </w:style>
  <w:style w:type="character" w:customStyle="1" w:styleId="71">
    <w:name w:val="标题 2 Char"/>
    <w:basedOn w:val="61"/>
    <w:link w:val="5"/>
    <w:autoRedefine/>
    <w:qFormat/>
    <w:uiPriority w:val="0"/>
    <w:rPr>
      <w:rFonts w:ascii="Arial" w:hAnsi="Arial" w:eastAsia="黑体" w:cs="Times New Roman"/>
      <w:b/>
      <w:sz w:val="32"/>
      <w:szCs w:val="20"/>
    </w:rPr>
  </w:style>
  <w:style w:type="character" w:customStyle="1" w:styleId="72">
    <w:name w:val="标题 3 Char"/>
    <w:basedOn w:val="61"/>
    <w:link w:val="6"/>
    <w:autoRedefine/>
    <w:qFormat/>
    <w:uiPriority w:val="0"/>
    <w:rPr>
      <w:rFonts w:ascii="Times New Roman" w:hAnsi="Times New Roman" w:eastAsia="宋体" w:cs="Times New Roman"/>
      <w:b/>
      <w:sz w:val="32"/>
      <w:szCs w:val="20"/>
    </w:rPr>
  </w:style>
  <w:style w:type="character" w:customStyle="1" w:styleId="73">
    <w:name w:val="标题 4 Char"/>
    <w:basedOn w:val="61"/>
    <w:link w:val="7"/>
    <w:autoRedefine/>
    <w:qFormat/>
    <w:uiPriority w:val="0"/>
    <w:rPr>
      <w:rFonts w:ascii="Arial" w:hAnsi="Arial" w:eastAsia="黑体" w:cs="Times New Roman"/>
      <w:b/>
      <w:sz w:val="28"/>
      <w:szCs w:val="20"/>
    </w:rPr>
  </w:style>
  <w:style w:type="character" w:customStyle="1" w:styleId="74">
    <w:name w:val="标题 5 Char"/>
    <w:basedOn w:val="61"/>
    <w:link w:val="8"/>
    <w:autoRedefine/>
    <w:qFormat/>
    <w:uiPriority w:val="0"/>
    <w:rPr>
      <w:rFonts w:ascii="Times New Roman" w:hAnsi="Times New Roman" w:eastAsia="宋体" w:cs="Times New Roman"/>
      <w:b/>
      <w:sz w:val="28"/>
      <w:szCs w:val="20"/>
    </w:rPr>
  </w:style>
  <w:style w:type="character" w:customStyle="1" w:styleId="75">
    <w:name w:val="标题 6 Char"/>
    <w:basedOn w:val="61"/>
    <w:link w:val="9"/>
    <w:autoRedefine/>
    <w:qFormat/>
    <w:uiPriority w:val="0"/>
    <w:rPr>
      <w:rFonts w:ascii="Arial" w:hAnsi="Arial" w:eastAsia="黑体" w:cs="Times New Roman"/>
      <w:b/>
      <w:sz w:val="24"/>
      <w:szCs w:val="20"/>
    </w:rPr>
  </w:style>
  <w:style w:type="character" w:customStyle="1" w:styleId="76">
    <w:name w:val="标题 7 Char"/>
    <w:basedOn w:val="61"/>
    <w:link w:val="10"/>
    <w:autoRedefine/>
    <w:qFormat/>
    <w:uiPriority w:val="0"/>
    <w:rPr>
      <w:rFonts w:ascii="Arial" w:hAnsi="Arial" w:eastAsia="黑体" w:cs="Times New Roman"/>
      <w:b/>
      <w:sz w:val="24"/>
      <w:szCs w:val="20"/>
    </w:rPr>
  </w:style>
  <w:style w:type="character" w:customStyle="1" w:styleId="77">
    <w:name w:val="标题 8 Char"/>
    <w:basedOn w:val="61"/>
    <w:link w:val="11"/>
    <w:autoRedefine/>
    <w:qFormat/>
    <w:uiPriority w:val="0"/>
    <w:rPr>
      <w:rFonts w:ascii="Arial" w:hAnsi="Arial" w:eastAsia="黑体" w:cs="Times New Roman"/>
      <w:b/>
      <w:sz w:val="24"/>
      <w:szCs w:val="20"/>
    </w:rPr>
  </w:style>
  <w:style w:type="character" w:customStyle="1" w:styleId="78">
    <w:name w:val="标题 9 Char"/>
    <w:basedOn w:val="61"/>
    <w:link w:val="12"/>
    <w:autoRedefine/>
    <w:qFormat/>
    <w:uiPriority w:val="0"/>
    <w:rPr>
      <w:rFonts w:ascii="Arial" w:hAnsi="Arial" w:eastAsia="黑体" w:cs="Times New Roman"/>
      <w:b/>
      <w:sz w:val="24"/>
      <w:szCs w:val="20"/>
    </w:rPr>
  </w:style>
  <w:style w:type="character" w:customStyle="1" w:styleId="79">
    <w:name w:val="正文文本缩进 2 Char"/>
    <w:link w:val="34"/>
    <w:autoRedefine/>
    <w:qFormat/>
    <w:uiPriority w:val="0"/>
    <w:rPr>
      <w:sz w:val="28"/>
    </w:rPr>
  </w:style>
  <w:style w:type="character" w:customStyle="1" w:styleId="80">
    <w:name w:val="脚注文本 Char"/>
    <w:link w:val="42"/>
    <w:autoRedefine/>
    <w:qFormat/>
    <w:uiPriority w:val="0"/>
    <w:rPr>
      <w:sz w:val="18"/>
    </w:rPr>
  </w:style>
  <w:style w:type="character" w:customStyle="1" w:styleId="81">
    <w:name w:val="批注主题 Char"/>
    <w:basedOn w:val="82"/>
    <w:link w:val="57"/>
    <w:autoRedefine/>
    <w:qFormat/>
    <w:uiPriority w:val="0"/>
    <w:rPr>
      <w:sz w:val="24"/>
    </w:rPr>
  </w:style>
  <w:style w:type="character" w:customStyle="1" w:styleId="82">
    <w:name w:val="批注文字 Char"/>
    <w:autoRedefine/>
    <w:qFormat/>
    <w:uiPriority w:val="0"/>
    <w:rPr>
      <w:sz w:val="24"/>
    </w:rPr>
  </w:style>
  <w:style w:type="character" w:customStyle="1" w:styleId="83">
    <w:name w:val="Char Char4"/>
    <w:autoRedefine/>
    <w:qFormat/>
    <w:uiPriority w:val="0"/>
    <w:rPr>
      <w:rFonts w:eastAsia="宋体"/>
      <w:b/>
      <w:kern w:val="2"/>
      <w:sz w:val="21"/>
      <w:lang w:val="en-US" w:eastAsia="zh-CN"/>
    </w:rPr>
  </w:style>
  <w:style w:type="character" w:customStyle="1" w:styleId="84">
    <w:name w:val="文字 Char"/>
    <w:link w:val="85"/>
    <w:autoRedefine/>
    <w:qFormat/>
    <w:uiPriority w:val="0"/>
    <w:rPr>
      <w:rFonts w:ascii="宋体"/>
      <w:sz w:val="28"/>
    </w:rPr>
  </w:style>
  <w:style w:type="paragraph" w:customStyle="1" w:styleId="85">
    <w:name w:val="文字"/>
    <w:basedOn w:val="1"/>
    <w:link w:val="84"/>
    <w:autoRedefine/>
    <w:qFormat/>
    <w:uiPriority w:val="0"/>
    <w:pPr>
      <w:tabs>
        <w:tab w:val="left" w:pos="8520"/>
      </w:tabs>
      <w:spacing w:line="312" w:lineRule="auto"/>
      <w:ind w:right="-210" w:firstLine="556"/>
    </w:pPr>
    <w:rPr>
      <w:rFonts w:ascii="宋体"/>
      <w:sz w:val="28"/>
    </w:rPr>
  </w:style>
  <w:style w:type="character" w:customStyle="1" w:styleId="86">
    <w:name w:val="content-white1"/>
    <w:autoRedefine/>
    <w:qFormat/>
    <w:uiPriority w:val="0"/>
    <w:rPr>
      <w:color w:val="auto"/>
      <w:sz w:val="18"/>
      <w:u w:val="none"/>
    </w:rPr>
  </w:style>
  <w:style w:type="character" w:customStyle="1" w:styleId="87">
    <w:name w:val="top-det1"/>
    <w:autoRedefine/>
    <w:qFormat/>
    <w:uiPriority w:val="0"/>
    <w:rPr>
      <w:b/>
      <w:color w:val="000000"/>
    </w:rPr>
  </w:style>
  <w:style w:type="character" w:customStyle="1" w:styleId="88">
    <w:name w:val="正文 + 三号 Char"/>
    <w:autoRedefine/>
    <w:qFormat/>
    <w:uiPriority w:val="0"/>
    <w:rPr>
      <w:rFonts w:eastAsia="宋体"/>
      <w:kern w:val="2"/>
      <w:sz w:val="21"/>
      <w:lang w:val="en-US" w:eastAsia="zh-CN"/>
    </w:rPr>
  </w:style>
  <w:style w:type="character" w:customStyle="1" w:styleId="89">
    <w:name w:val="Char Char11"/>
    <w:autoRedefine/>
    <w:qFormat/>
    <w:uiPriority w:val="0"/>
    <w:rPr>
      <w:rFonts w:ascii="宋体"/>
      <w:kern w:val="2"/>
      <w:sz w:val="28"/>
    </w:rPr>
  </w:style>
  <w:style w:type="character" w:customStyle="1" w:styleId="90">
    <w:name w:val="Char Char6"/>
    <w:autoRedefine/>
    <w:qFormat/>
    <w:uiPriority w:val="0"/>
    <w:rPr>
      <w:rFonts w:ascii="仿宋_GB2312" w:eastAsia="仿宋_GB2312"/>
      <w:kern w:val="2"/>
      <w:sz w:val="32"/>
    </w:rPr>
  </w:style>
  <w:style w:type="character" w:customStyle="1" w:styleId="91">
    <w:name w:val="Char Char5"/>
    <w:autoRedefine/>
    <w:qFormat/>
    <w:uiPriority w:val="0"/>
    <w:rPr>
      <w:rFonts w:ascii="Arial" w:hAnsi="Arial" w:eastAsia="宋体"/>
      <w:b/>
      <w:smallCaps/>
      <w:kern w:val="28"/>
      <w:sz w:val="36"/>
      <w:lang w:val="en-US" w:eastAsia="en-US"/>
    </w:rPr>
  </w:style>
  <w:style w:type="character" w:customStyle="1" w:styleId="92">
    <w:name w:val="标书正文:  0.74 厘米 Char1"/>
    <w:autoRedefine/>
    <w:qFormat/>
    <w:uiPriority w:val="0"/>
    <w:rPr>
      <w:rFonts w:eastAsia="宋体"/>
      <w:kern w:val="2"/>
      <w:sz w:val="24"/>
      <w:lang w:val="en-US" w:eastAsia="zh-CN"/>
    </w:rPr>
  </w:style>
  <w:style w:type="character" w:customStyle="1" w:styleId="93">
    <w:name w:val="纯文本 Char"/>
    <w:link w:val="31"/>
    <w:autoRedefine/>
    <w:qFormat/>
    <w:uiPriority w:val="0"/>
    <w:rPr>
      <w:rFonts w:ascii="宋体" w:hAnsi="Courier New"/>
    </w:rPr>
  </w:style>
  <w:style w:type="character" w:customStyle="1" w:styleId="94">
    <w:name w:val="crowed11"/>
    <w:autoRedefine/>
    <w:qFormat/>
    <w:uiPriority w:val="0"/>
    <w:rPr>
      <w:rFonts w:hint="default"/>
      <w:sz w:val="24"/>
    </w:rPr>
  </w:style>
  <w:style w:type="character" w:customStyle="1" w:styleId="95">
    <w:name w:val="Table Text Char Char Char Char"/>
    <w:link w:val="96"/>
    <w:autoRedefine/>
    <w:qFormat/>
    <w:uiPriority w:val="0"/>
    <w:rPr>
      <w:rFonts w:ascii="Arial" w:hAnsi="Arial"/>
      <w:sz w:val="18"/>
    </w:rPr>
  </w:style>
  <w:style w:type="paragraph" w:customStyle="1" w:styleId="96">
    <w:name w:val="Table Text Char Char Char"/>
    <w:link w:val="95"/>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7">
    <w:name w:val="Char Char7"/>
    <w:autoRedefine/>
    <w:qFormat/>
    <w:uiPriority w:val="0"/>
    <w:rPr>
      <w:rFonts w:ascii="宋体" w:hAnsi="宋体" w:eastAsia="宋体"/>
      <w:kern w:val="2"/>
      <w:sz w:val="28"/>
    </w:rPr>
  </w:style>
  <w:style w:type="character" w:customStyle="1" w:styleId="98">
    <w:name w:val="未命名11"/>
    <w:autoRedefine/>
    <w:qFormat/>
    <w:uiPriority w:val="0"/>
    <w:rPr>
      <w:color w:val="77FFFF"/>
      <w:sz w:val="24"/>
    </w:rPr>
  </w:style>
  <w:style w:type="character" w:customStyle="1" w:styleId="99">
    <w:name w:val="小 Char"/>
    <w:autoRedefine/>
    <w:qFormat/>
    <w:uiPriority w:val="0"/>
    <w:rPr>
      <w:rFonts w:ascii="宋体" w:hAnsi="Courier New" w:eastAsia="宋体"/>
      <w:kern w:val="2"/>
      <w:sz w:val="21"/>
      <w:lang w:val="en-US" w:eastAsia="zh-CN" w:bidi="ar-SA"/>
    </w:rPr>
  </w:style>
  <w:style w:type="character" w:customStyle="1" w:styleId="100">
    <w:name w:val="Char Char3"/>
    <w:autoRedefine/>
    <w:qFormat/>
    <w:uiPriority w:val="0"/>
    <w:rPr>
      <w:rFonts w:eastAsia="宋体"/>
      <w:kern w:val="2"/>
      <w:sz w:val="18"/>
      <w:lang w:val="en-US" w:eastAsia="zh-CN"/>
    </w:rPr>
  </w:style>
  <w:style w:type="character" w:customStyle="1" w:styleId="101">
    <w:name w:val="title_emph1"/>
    <w:autoRedefine/>
    <w:qFormat/>
    <w:uiPriority w:val="0"/>
    <w:rPr>
      <w:rFonts w:hint="default" w:ascii="Arial" w:hAnsi="Arial"/>
      <w:b/>
      <w:sz w:val="20"/>
    </w:rPr>
  </w:style>
  <w:style w:type="character" w:customStyle="1" w:styleId="102">
    <w:name w:val="Table Text Char"/>
    <w:link w:val="103"/>
    <w:autoRedefine/>
    <w:qFormat/>
    <w:uiPriority w:val="0"/>
    <w:rPr>
      <w:rFonts w:ascii="Arial" w:hAnsi="Arial"/>
      <w:sz w:val="18"/>
    </w:rPr>
  </w:style>
  <w:style w:type="paragraph" w:customStyle="1" w:styleId="103">
    <w:name w:val="Table Text"/>
    <w:link w:val="102"/>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4">
    <w:name w:val="样式 宋体"/>
    <w:autoRedefine/>
    <w:qFormat/>
    <w:uiPriority w:val="0"/>
    <w:rPr>
      <w:rFonts w:ascii="宋体" w:hAnsi="宋体" w:eastAsia="宋体"/>
      <w:sz w:val="28"/>
    </w:rPr>
  </w:style>
  <w:style w:type="character" w:customStyle="1" w:styleId="105">
    <w:name w:val="正文首行缩进 2 Char"/>
    <w:basedOn w:val="106"/>
    <w:link w:val="2"/>
    <w:autoRedefine/>
    <w:qFormat/>
    <w:uiPriority w:val="0"/>
    <w:rPr>
      <w:sz w:val="44"/>
    </w:rPr>
  </w:style>
  <w:style w:type="character" w:customStyle="1" w:styleId="106">
    <w:name w:val="正文文本缩进 Char"/>
    <w:link w:val="3"/>
    <w:autoRedefine/>
    <w:qFormat/>
    <w:uiPriority w:val="0"/>
    <w:rPr>
      <w:sz w:val="44"/>
    </w:rPr>
  </w:style>
  <w:style w:type="character" w:customStyle="1" w:styleId="107">
    <w:name w:val="页脚 Char"/>
    <w:link w:val="36"/>
    <w:autoRedefine/>
    <w:qFormat/>
    <w:uiPriority w:val="99"/>
    <w:rPr>
      <w:sz w:val="18"/>
    </w:rPr>
  </w:style>
  <w:style w:type="character" w:customStyle="1" w:styleId="108">
    <w:name w:val="Table Heading Char Char"/>
    <w:autoRedefine/>
    <w:qFormat/>
    <w:uiPriority w:val="0"/>
    <w:rPr>
      <w:rFonts w:ascii="Arial" w:hAnsi="Arial" w:eastAsia="黑体"/>
      <w:kern w:val="2"/>
      <w:sz w:val="18"/>
      <w:lang w:val="en-US" w:eastAsia="zh-CN"/>
    </w:rPr>
  </w:style>
  <w:style w:type="character" w:customStyle="1" w:styleId="109">
    <w:name w:val="日期 Char"/>
    <w:link w:val="33"/>
    <w:autoRedefine/>
    <w:qFormat/>
    <w:uiPriority w:val="0"/>
    <w:rPr>
      <w:sz w:val="28"/>
    </w:rPr>
  </w:style>
  <w:style w:type="character" w:customStyle="1" w:styleId="110">
    <w:name w:val="font1"/>
    <w:autoRedefine/>
    <w:qFormat/>
    <w:uiPriority w:val="0"/>
    <w:rPr>
      <w:color w:val="000000"/>
      <w:sz w:val="18"/>
    </w:rPr>
  </w:style>
  <w:style w:type="character" w:customStyle="1" w:styleId="111">
    <w:name w:val="Char Char2"/>
    <w:autoRedefine/>
    <w:qFormat/>
    <w:uiPriority w:val="0"/>
    <w:rPr>
      <w:rFonts w:eastAsia="宋体"/>
      <w:kern w:val="2"/>
      <w:sz w:val="18"/>
      <w:lang w:val="en-US" w:eastAsia="zh-CN"/>
    </w:rPr>
  </w:style>
  <w:style w:type="character" w:customStyle="1" w:styleId="112">
    <w:name w:val="H2 Char"/>
    <w:autoRedefine/>
    <w:qFormat/>
    <w:uiPriority w:val="0"/>
    <w:rPr>
      <w:rFonts w:ascii="Arial" w:hAnsi="Arial" w:eastAsia="宋体"/>
      <w:kern w:val="2"/>
      <w:sz w:val="28"/>
      <w:lang w:val="en-US" w:eastAsia="zh-CN"/>
    </w:rPr>
  </w:style>
  <w:style w:type="character" w:customStyle="1" w:styleId="113">
    <w:name w:val="v151"/>
    <w:autoRedefine/>
    <w:qFormat/>
    <w:uiPriority w:val="0"/>
    <w:rPr>
      <w:sz w:val="18"/>
    </w:rPr>
  </w:style>
  <w:style w:type="character" w:customStyle="1" w:styleId="114">
    <w:name w:val="Table Text Char1 Char"/>
    <w:autoRedefine/>
    <w:qFormat/>
    <w:uiPriority w:val="0"/>
    <w:rPr>
      <w:rFonts w:ascii="Arial" w:hAnsi="Arial"/>
      <w:kern w:val="2"/>
      <w:sz w:val="18"/>
      <w:lang w:val="en-US" w:eastAsia="zh-CN" w:bidi="ar-SA"/>
    </w:rPr>
  </w:style>
  <w:style w:type="character" w:customStyle="1" w:styleId="115">
    <w:name w:val="HTML 预设格式 Char"/>
    <w:link w:val="52"/>
    <w:autoRedefine/>
    <w:qFormat/>
    <w:uiPriority w:val="0"/>
    <w:rPr>
      <w:rFonts w:ascii="宋体" w:hAnsi="宋体" w:cs="宋体"/>
      <w:sz w:val="24"/>
      <w:szCs w:val="24"/>
    </w:rPr>
  </w:style>
  <w:style w:type="character" w:customStyle="1" w:styleId="116">
    <w:name w:val="Char Char"/>
    <w:autoRedefine/>
    <w:qFormat/>
    <w:uiPriority w:val="0"/>
    <w:rPr>
      <w:rFonts w:ascii="宋体" w:hAnsi="宋体" w:eastAsia="宋体"/>
      <w:kern w:val="2"/>
      <w:sz w:val="24"/>
      <w:lang w:val="en-US" w:eastAsia="zh-CN" w:bidi="ar-SA"/>
    </w:rPr>
  </w:style>
  <w:style w:type="character" w:customStyle="1" w:styleId="117">
    <w:name w:val="脚注文本 Char1"/>
    <w:basedOn w:val="61"/>
    <w:autoRedefine/>
    <w:semiHidden/>
    <w:qFormat/>
    <w:uiPriority w:val="99"/>
    <w:rPr>
      <w:sz w:val="18"/>
      <w:szCs w:val="18"/>
    </w:rPr>
  </w:style>
  <w:style w:type="character" w:customStyle="1" w:styleId="118">
    <w:name w:val="页眉 Char"/>
    <w:basedOn w:val="61"/>
    <w:link w:val="38"/>
    <w:autoRedefine/>
    <w:qFormat/>
    <w:uiPriority w:val="0"/>
    <w:rPr>
      <w:rFonts w:ascii="Times New Roman" w:hAnsi="Times New Roman" w:eastAsia="宋体" w:cs="Times New Roman"/>
      <w:sz w:val="18"/>
      <w:szCs w:val="20"/>
    </w:rPr>
  </w:style>
  <w:style w:type="character" w:customStyle="1" w:styleId="119">
    <w:name w:val="正文文本缩进 Char1"/>
    <w:basedOn w:val="61"/>
    <w:autoRedefine/>
    <w:semiHidden/>
    <w:qFormat/>
    <w:uiPriority w:val="99"/>
  </w:style>
  <w:style w:type="character" w:customStyle="1" w:styleId="120">
    <w:name w:val="文档结构图 Char"/>
    <w:basedOn w:val="61"/>
    <w:link w:val="19"/>
    <w:autoRedefine/>
    <w:qFormat/>
    <w:uiPriority w:val="0"/>
    <w:rPr>
      <w:rFonts w:ascii="Times New Roman" w:hAnsi="Times New Roman" w:eastAsia="宋体" w:cs="Times New Roman"/>
      <w:sz w:val="28"/>
      <w:szCs w:val="20"/>
      <w:shd w:val="clear" w:color="auto" w:fill="000080"/>
    </w:rPr>
  </w:style>
  <w:style w:type="character" w:customStyle="1" w:styleId="121">
    <w:name w:val="页脚 Char1"/>
    <w:basedOn w:val="61"/>
    <w:autoRedefine/>
    <w:semiHidden/>
    <w:qFormat/>
    <w:uiPriority w:val="99"/>
    <w:rPr>
      <w:sz w:val="18"/>
      <w:szCs w:val="18"/>
    </w:rPr>
  </w:style>
  <w:style w:type="character" w:customStyle="1" w:styleId="122">
    <w:name w:val="正文文本缩进 3 Char"/>
    <w:basedOn w:val="61"/>
    <w:link w:val="45"/>
    <w:autoRedefine/>
    <w:qFormat/>
    <w:uiPriority w:val="0"/>
    <w:rPr>
      <w:rFonts w:ascii="黑体" w:hAnsi="Times New Roman" w:eastAsia="黑体" w:cs="Times New Roman"/>
      <w:sz w:val="28"/>
      <w:szCs w:val="20"/>
    </w:rPr>
  </w:style>
  <w:style w:type="character" w:customStyle="1" w:styleId="123">
    <w:name w:val="正文文本 3 Char"/>
    <w:basedOn w:val="61"/>
    <w:link w:val="22"/>
    <w:autoRedefine/>
    <w:qFormat/>
    <w:uiPriority w:val="0"/>
    <w:rPr>
      <w:rFonts w:ascii="Times New Roman" w:hAnsi="Times New Roman" w:eastAsia="宋体" w:cs="Times New Roman"/>
      <w:sz w:val="16"/>
      <w:szCs w:val="20"/>
    </w:rPr>
  </w:style>
  <w:style w:type="character" w:customStyle="1" w:styleId="124">
    <w:name w:val="正文文本 2 Char"/>
    <w:basedOn w:val="61"/>
    <w:link w:val="49"/>
    <w:autoRedefine/>
    <w:qFormat/>
    <w:uiPriority w:val="0"/>
    <w:rPr>
      <w:rFonts w:ascii="Times New Roman" w:hAnsi="Times New Roman" w:eastAsia="宋体" w:cs="Times New Roman"/>
      <w:sz w:val="24"/>
      <w:szCs w:val="20"/>
    </w:rPr>
  </w:style>
  <w:style w:type="character" w:customStyle="1" w:styleId="125">
    <w:name w:val="正文文本 Char"/>
    <w:basedOn w:val="61"/>
    <w:link w:val="24"/>
    <w:autoRedefine/>
    <w:qFormat/>
    <w:uiPriority w:val="0"/>
    <w:rPr>
      <w:rFonts w:ascii="仿宋_GB2312" w:hAnsi="Times New Roman" w:eastAsia="仿宋_GB2312" w:cs="Times New Roman"/>
      <w:sz w:val="32"/>
      <w:szCs w:val="20"/>
    </w:rPr>
  </w:style>
  <w:style w:type="character" w:customStyle="1" w:styleId="126">
    <w:name w:val="正文文本缩进 2 Char1"/>
    <w:basedOn w:val="61"/>
    <w:autoRedefine/>
    <w:semiHidden/>
    <w:qFormat/>
    <w:uiPriority w:val="99"/>
  </w:style>
  <w:style w:type="character" w:customStyle="1" w:styleId="127">
    <w:name w:val="正文首行缩进 2 Char1"/>
    <w:basedOn w:val="119"/>
    <w:autoRedefine/>
    <w:semiHidden/>
    <w:qFormat/>
    <w:uiPriority w:val="99"/>
  </w:style>
  <w:style w:type="character" w:customStyle="1" w:styleId="128">
    <w:name w:val="标题 Char"/>
    <w:basedOn w:val="61"/>
    <w:link w:val="56"/>
    <w:autoRedefine/>
    <w:qFormat/>
    <w:uiPriority w:val="0"/>
    <w:rPr>
      <w:rFonts w:ascii="Arial" w:hAnsi="Arial" w:eastAsia="宋体" w:cs="Times New Roman"/>
      <w:b/>
      <w:smallCaps/>
      <w:kern w:val="28"/>
      <w:sz w:val="36"/>
      <w:szCs w:val="20"/>
      <w:lang w:eastAsia="en-US"/>
    </w:rPr>
  </w:style>
  <w:style w:type="character" w:customStyle="1" w:styleId="129">
    <w:name w:val="HTML 预设格式 Char1"/>
    <w:basedOn w:val="61"/>
    <w:autoRedefine/>
    <w:semiHidden/>
    <w:qFormat/>
    <w:uiPriority w:val="99"/>
    <w:rPr>
      <w:rFonts w:ascii="Courier New" w:hAnsi="Courier New" w:cs="Courier New"/>
      <w:sz w:val="20"/>
      <w:szCs w:val="20"/>
    </w:rPr>
  </w:style>
  <w:style w:type="character" w:customStyle="1" w:styleId="130">
    <w:name w:val="日期 Char1"/>
    <w:basedOn w:val="61"/>
    <w:autoRedefine/>
    <w:semiHidden/>
    <w:qFormat/>
    <w:uiPriority w:val="99"/>
  </w:style>
  <w:style w:type="character" w:customStyle="1" w:styleId="131">
    <w:name w:val="纯文本 Char1"/>
    <w:basedOn w:val="61"/>
    <w:autoRedefine/>
    <w:semiHidden/>
    <w:qFormat/>
    <w:uiPriority w:val="99"/>
    <w:rPr>
      <w:rFonts w:ascii="宋体" w:hAnsi="Courier New" w:eastAsia="宋体" w:cs="Courier New"/>
      <w:szCs w:val="21"/>
    </w:rPr>
  </w:style>
  <w:style w:type="character" w:customStyle="1" w:styleId="132">
    <w:name w:val="批注文字 Char1"/>
    <w:basedOn w:val="61"/>
    <w:link w:val="21"/>
    <w:autoRedefine/>
    <w:semiHidden/>
    <w:qFormat/>
    <w:uiPriority w:val="99"/>
  </w:style>
  <w:style w:type="character" w:customStyle="1" w:styleId="133">
    <w:name w:val="批注主题 Char1"/>
    <w:basedOn w:val="132"/>
    <w:autoRedefine/>
    <w:semiHidden/>
    <w:qFormat/>
    <w:uiPriority w:val="99"/>
    <w:rPr>
      <w:b/>
      <w:bCs/>
    </w:rPr>
  </w:style>
  <w:style w:type="character" w:customStyle="1" w:styleId="134">
    <w:name w:val="批注框文本 Char"/>
    <w:basedOn w:val="61"/>
    <w:link w:val="35"/>
    <w:autoRedefine/>
    <w:qFormat/>
    <w:uiPriority w:val="0"/>
    <w:rPr>
      <w:rFonts w:ascii="Times New Roman" w:hAnsi="Times New Roman" w:eastAsia="宋体" w:cs="Times New Roman"/>
      <w:sz w:val="18"/>
      <w:szCs w:val="20"/>
    </w:rPr>
  </w:style>
  <w:style w:type="character" w:customStyle="1" w:styleId="135">
    <w:name w:val="正文首行缩进 Char"/>
    <w:basedOn w:val="125"/>
    <w:link w:val="58"/>
    <w:autoRedefine/>
    <w:qFormat/>
    <w:uiPriority w:val="0"/>
    <w:rPr>
      <w:rFonts w:ascii="宋体" w:hAnsi="宋体" w:eastAsia="宋体" w:cs="Times New Roman"/>
      <w:sz w:val="24"/>
      <w:szCs w:val="20"/>
    </w:rPr>
  </w:style>
  <w:style w:type="paragraph" w:customStyle="1" w:styleId="136">
    <w:name w:val="正文 + 三号"/>
    <w:basedOn w:val="1"/>
    <w:autoRedefine/>
    <w:qFormat/>
    <w:uiPriority w:val="0"/>
    <w:rPr>
      <w:rFonts w:ascii="Times New Roman" w:hAnsi="Times New Roman" w:eastAsia="宋体" w:cs="Times New Roman"/>
      <w:szCs w:val="20"/>
    </w:rPr>
  </w:style>
  <w:style w:type="paragraph" w:customStyle="1" w:styleId="137">
    <w:name w:val="CSS1级正文 Char"/>
    <w:basedOn w:val="24"/>
    <w:autoRedefine/>
    <w:qFormat/>
    <w:uiPriority w:val="0"/>
    <w:pPr>
      <w:adjustRightInd w:val="0"/>
      <w:snapToGrid w:val="0"/>
      <w:spacing w:line="360" w:lineRule="auto"/>
      <w:ind w:firstLine="480"/>
    </w:pPr>
    <w:rPr>
      <w:rFonts w:ascii="Times New Roman" w:eastAsia="宋体"/>
      <w:sz w:val="24"/>
    </w:rPr>
  </w:style>
  <w:style w:type="paragraph" w:customStyle="1" w:styleId="138">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9">
    <w:name w:val="二级列表"/>
    <w:basedOn w:val="140"/>
    <w:next w:val="140"/>
    <w:autoRedefine/>
    <w:qFormat/>
    <w:uiPriority w:val="0"/>
    <w:pPr>
      <w:tabs>
        <w:tab w:val="left" w:pos="2120"/>
      </w:tabs>
      <w:ind w:firstLine="0" w:firstLineChars="0"/>
    </w:pPr>
    <w:rPr>
      <w:b/>
    </w:rPr>
  </w:style>
  <w:style w:type="paragraph" w:customStyle="1" w:styleId="140">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1">
    <w:name w:val="Char1"/>
    <w:basedOn w:val="1"/>
    <w:autoRedefine/>
    <w:qFormat/>
    <w:uiPriority w:val="0"/>
    <w:rPr>
      <w:rFonts w:ascii="Times New Roman" w:hAnsi="Times New Roman" w:eastAsia="宋体" w:cs="Times New Roman"/>
      <w:szCs w:val="20"/>
    </w:rPr>
  </w:style>
  <w:style w:type="paragraph" w:customStyle="1" w:styleId="142">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3">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4">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5">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6">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7">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8">
    <w:name w:val="摘要"/>
    <w:basedOn w:val="1"/>
    <w:next w:val="5"/>
    <w:autoRedefine/>
    <w:qFormat/>
    <w:uiPriority w:val="0"/>
    <w:pPr>
      <w:spacing w:line="360" w:lineRule="auto"/>
    </w:pPr>
    <w:rPr>
      <w:rFonts w:ascii="Times New Roman" w:hAnsi="Times New Roman" w:eastAsia="黑体" w:cs="Times New Roman"/>
      <w:sz w:val="20"/>
      <w:szCs w:val="20"/>
    </w:rPr>
  </w:style>
  <w:style w:type="paragraph" w:customStyle="1" w:styleId="149">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50">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1">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2">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3">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4">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5">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6">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7">
    <w:name w:val="表格内文字"/>
    <w:basedOn w:val="31"/>
    <w:autoRedefine/>
    <w:qFormat/>
    <w:uiPriority w:val="0"/>
    <w:pPr>
      <w:adjustRightInd w:val="0"/>
    </w:pPr>
    <w:rPr>
      <w:color w:val="000000"/>
      <w:lang w:val="en-GB"/>
    </w:rPr>
  </w:style>
  <w:style w:type="paragraph" w:customStyle="1" w:styleId="158">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9">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60">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1">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2">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3">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4">
    <w:name w:val="样式1"/>
    <w:basedOn w:val="7"/>
    <w:autoRedefine/>
    <w:qFormat/>
    <w:uiPriority w:val="0"/>
    <w:pPr>
      <w:tabs>
        <w:tab w:val="left" w:pos="720"/>
      </w:tabs>
      <w:spacing w:before="500" w:after="260" w:line="560" w:lineRule="atLeast"/>
      <w:ind w:left="420" w:hanging="420"/>
    </w:pPr>
  </w:style>
  <w:style w:type="paragraph" w:customStyle="1" w:styleId="165">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6">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7">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8">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9">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70">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1">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2">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3">
    <w:name w:val="Style Heading 3h3Heading 3 - oldLevel 3 HeadH3level_3PIM 3se..."/>
    <w:basedOn w:val="6"/>
    <w:autoRedefine/>
    <w:qFormat/>
    <w:uiPriority w:val="0"/>
    <w:pPr>
      <w:numPr>
        <w:ilvl w:val="2"/>
        <w:numId w:val="5"/>
      </w:numPr>
      <w:tabs>
        <w:tab w:val="left" w:pos="709"/>
        <w:tab w:val="left" w:pos="1620"/>
      </w:tabs>
    </w:pPr>
  </w:style>
  <w:style w:type="paragraph" w:customStyle="1" w:styleId="174">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5">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6">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7">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8">
    <w:name w:val="样式 标题 1 + 居中 段前: 6 磅 段后: 6 磅 行距: 1.5 倍行距"/>
    <w:basedOn w:val="4"/>
    <w:autoRedefine/>
    <w:qFormat/>
    <w:uiPriority w:val="0"/>
    <w:pPr>
      <w:keepLines/>
      <w:adjustRightInd w:val="0"/>
      <w:spacing w:before="120" w:after="120" w:line="360" w:lineRule="auto"/>
      <w:jc w:val="center"/>
    </w:pPr>
    <w:rPr>
      <w:rFonts w:ascii="Times New Roman"/>
      <w:b/>
      <w:kern w:val="44"/>
      <w:sz w:val="32"/>
    </w:rPr>
  </w:style>
  <w:style w:type="paragraph" w:customStyle="1" w:styleId="179">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80">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1">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2">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3">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4">
    <w:name w:val="Char Char Char Char Char Char Char"/>
    <w:basedOn w:val="1"/>
    <w:autoRedefine/>
    <w:qFormat/>
    <w:uiPriority w:val="0"/>
    <w:rPr>
      <w:rFonts w:ascii="Tahoma" w:hAnsi="Tahoma" w:eastAsia="宋体" w:cs="Times New Roman"/>
      <w:sz w:val="24"/>
      <w:szCs w:val="20"/>
    </w:rPr>
  </w:style>
  <w:style w:type="paragraph" w:customStyle="1" w:styleId="185">
    <w:name w:val="编号正文"/>
    <w:basedOn w:val="186"/>
    <w:autoRedefine/>
    <w:qFormat/>
    <w:uiPriority w:val="0"/>
    <w:pPr>
      <w:snapToGrid/>
      <w:spacing w:line="360" w:lineRule="auto"/>
      <w:ind w:left="1407" w:hanging="1047"/>
      <w:jc w:val="left"/>
    </w:pPr>
    <w:rPr>
      <w:rFonts w:eastAsia="仿宋_GB2312"/>
    </w:rPr>
  </w:style>
  <w:style w:type="paragraph" w:customStyle="1" w:styleId="186">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7">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8">
    <w:name w:val="Char2 Char Char Char Char Char Char"/>
    <w:basedOn w:val="1"/>
    <w:autoRedefine/>
    <w:qFormat/>
    <w:uiPriority w:val="0"/>
    <w:rPr>
      <w:rFonts w:ascii="仿宋_GB2312" w:hAnsi="Times New Roman" w:eastAsia="宋体" w:cs="Times New Roman"/>
      <w:b/>
      <w:sz w:val="30"/>
      <w:szCs w:val="20"/>
    </w:rPr>
  </w:style>
  <w:style w:type="paragraph" w:customStyle="1" w:styleId="189">
    <w:name w:val="Table Contents"/>
    <w:basedOn w:val="24"/>
    <w:autoRedefine/>
    <w:qFormat/>
    <w:uiPriority w:val="0"/>
    <w:pPr>
      <w:suppressAutoHyphens/>
      <w:jc w:val="left"/>
    </w:pPr>
    <w:rPr>
      <w:rFonts w:ascii="Times New Roman" w:eastAsia="Times New Roman"/>
      <w:kern w:val="0"/>
      <w:sz w:val="24"/>
    </w:rPr>
  </w:style>
  <w:style w:type="paragraph" w:customStyle="1" w:styleId="190">
    <w:name w:val="Char Char Char"/>
    <w:basedOn w:val="1"/>
    <w:autoRedefine/>
    <w:qFormat/>
    <w:uiPriority w:val="0"/>
    <w:rPr>
      <w:rFonts w:ascii="Tahoma" w:hAnsi="Tahoma" w:eastAsia="宋体" w:cs="Times New Roman"/>
      <w:sz w:val="24"/>
      <w:szCs w:val="20"/>
    </w:rPr>
  </w:style>
  <w:style w:type="paragraph" w:customStyle="1" w:styleId="191">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2">
    <w:name w:val="bt"/>
    <w:basedOn w:val="1"/>
    <w:next w:val="24"/>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3">
    <w:name w:val="Title - Revision"/>
    <w:basedOn w:val="56"/>
    <w:autoRedefine/>
    <w:qFormat/>
    <w:uiPriority w:val="0"/>
    <w:pPr>
      <w:spacing w:before="720"/>
    </w:pPr>
  </w:style>
  <w:style w:type="paragraph" w:customStyle="1" w:styleId="194">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5">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6">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7">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8">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9">
    <w:name w:val="标准正文"/>
    <w:basedOn w:val="3"/>
    <w:autoRedefine/>
    <w:qFormat/>
    <w:uiPriority w:val="0"/>
    <w:pPr>
      <w:spacing w:before="60" w:after="60" w:line="360" w:lineRule="auto"/>
      <w:ind w:left="0" w:firstLine="482"/>
    </w:pPr>
    <w:rPr>
      <w:rFonts w:ascii="Arial" w:hAnsi="Arial"/>
      <w:sz w:val="24"/>
    </w:rPr>
  </w:style>
  <w:style w:type="paragraph" w:customStyle="1" w:styleId="200">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1">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2">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3">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4">
    <w:name w:val="二级条标题"/>
    <w:basedOn w:val="205"/>
    <w:next w:val="152"/>
    <w:autoRedefine/>
    <w:qFormat/>
    <w:uiPriority w:val="0"/>
    <w:pPr>
      <w:ind w:left="840"/>
      <w:outlineLvl w:val="3"/>
    </w:pPr>
  </w:style>
  <w:style w:type="paragraph" w:customStyle="1" w:styleId="205">
    <w:name w:val="一级条标题"/>
    <w:basedOn w:val="206"/>
    <w:next w:val="152"/>
    <w:autoRedefine/>
    <w:qFormat/>
    <w:uiPriority w:val="0"/>
    <w:pPr>
      <w:numPr>
        <w:numId w:val="0"/>
      </w:numPr>
      <w:spacing w:before="0" w:beforeLines="0" w:after="0" w:afterLines="0"/>
      <w:ind w:left="525"/>
      <w:outlineLvl w:val="2"/>
    </w:pPr>
    <w:rPr>
      <w:sz w:val="21"/>
    </w:rPr>
  </w:style>
  <w:style w:type="paragraph" w:customStyle="1" w:styleId="206">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7">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8">
    <w:name w:val="IN Feature"/>
    <w:next w:val="209"/>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9">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10">
    <w:name w:val="1"/>
    <w:basedOn w:val="1"/>
    <w:next w:val="31"/>
    <w:autoRedefine/>
    <w:qFormat/>
    <w:uiPriority w:val="0"/>
    <w:rPr>
      <w:rFonts w:ascii="宋体" w:hAnsi="Courier New" w:eastAsia="宋体" w:cs="Times New Roman"/>
      <w:szCs w:val="20"/>
    </w:rPr>
  </w:style>
  <w:style w:type="paragraph" w:customStyle="1" w:styleId="211">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2">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3">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4">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5">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6">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7">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8">
    <w:name w:val="Char1 Char Char Char"/>
    <w:basedOn w:val="1"/>
    <w:autoRedefine/>
    <w:qFormat/>
    <w:uiPriority w:val="0"/>
    <w:rPr>
      <w:rFonts w:ascii="Tahoma" w:hAnsi="Tahoma" w:eastAsia="宋体" w:cs="Times New Roman"/>
      <w:sz w:val="24"/>
      <w:szCs w:val="20"/>
    </w:rPr>
  </w:style>
  <w:style w:type="paragraph" w:customStyle="1" w:styleId="219">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20">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1">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2">
    <w:name w:val="样式 标题 6第五层条 + 三号 段前: 0.5 行"/>
    <w:basedOn w:val="9"/>
    <w:autoRedefine/>
    <w:qFormat/>
    <w:uiPriority w:val="0"/>
    <w:pPr>
      <w:widowControl/>
      <w:adjustRightInd/>
      <w:snapToGrid/>
      <w:spacing w:before="156" w:beforeLines="50"/>
      <w:jc w:val="left"/>
    </w:pPr>
    <w:rPr>
      <w:snapToGrid w:val="0"/>
      <w:kern w:val="24"/>
      <w:sz w:val="28"/>
    </w:rPr>
  </w:style>
  <w:style w:type="paragraph" w:customStyle="1" w:styleId="223">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4">
    <w:name w:val="样式2"/>
    <w:basedOn w:val="7"/>
    <w:autoRedefine/>
    <w:qFormat/>
    <w:uiPriority w:val="0"/>
    <w:pPr>
      <w:numPr>
        <w:ilvl w:val="0"/>
        <w:numId w:val="10"/>
      </w:numPr>
      <w:spacing w:before="560" w:line="400" w:lineRule="exact"/>
      <w:jc w:val="center"/>
      <w:outlineLvl w:val="0"/>
    </w:pPr>
    <w:rPr>
      <w:b w:val="0"/>
      <w:sz w:val="44"/>
    </w:rPr>
  </w:style>
  <w:style w:type="paragraph" w:customStyle="1" w:styleId="225">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6">
    <w:name w:val="内容标题"/>
    <w:basedOn w:val="19"/>
    <w:autoRedefine/>
    <w:qFormat/>
    <w:uiPriority w:val="0"/>
    <w:rPr>
      <w:rFonts w:ascii="Tahoma" w:hAnsi="Tahoma"/>
      <w:sz w:val="24"/>
    </w:rPr>
  </w:style>
  <w:style w:type="paragraph" w:customStyle="1" w:styleId="227">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8">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9">
    <w:name w:val="Char Char1 Char"/>
    <w:basedOn w:val="1"/>
    <w:autoRedefine/>
    <w:qFormat/>
    <w:uiPriority w:val="0"/>
    <w:rPr>
      <w:rFonts w:ascii="Tahoma" w:hAnsi="Tahoma" w:eastAsia="宋体" w:cs="Times New Roman"/>
      <w:sz w:val="24"/>
      <w:szCs w:val="24"/>
    </w:rPr>
  </w:style>
  <w:style w:type="paragraph" w:customStyle="1" w:styleId="230">
    <w:name w:val="样式3"/>
    <w:basedOn w:val="4"/>
    <w:next w:val="4"/>
    <w:autoRedefine/>
    <w:qFormat/>
    <w:uiPriority w:val="0"/>
    <w:pPr>
      <w:keepLines/>
      <w:adjustRightInd w:val="0"/>
      <w:spacing w:before="340" w:after="330" w:line="576" w:lineRule="auto"/>
    </w:pPr>
    <w:rPr>
      <w:rFonts w:ascii="Times New Roman" w:eastAsia="黑体"/>
      <w:b/>
      <w:kern w:val="44"/>
      <w:sz w:val="44"/>
    </w:rPr>
  </w:style>
  <w:style w:type="paragraph" w:customStyle="1" w:styleId="231">
    <w:name w:val="标题2"/>
    <w:basedOn w:val="5"/>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2">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3">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4">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5">
    <w:name w:val="Char1 Char Char Char1"/>
    <w:basedOn w:val="1"/>
    <w:autoRedefine/>
    <w:qFormat/>
    <w:uiPriority w:val="0"/>
    <w:rPr>
      <w:rFonts w:ascii="Tahoma" w:hAnsi="Tahoma" w:eastAsia="宋体" w:cs="Times New Roman"/>
      <w:sz w:val="30"/>
      <w:szCs w:val="20"/>
    </w:rPr>
  </w:style>
  <w:style w:type="paragraph" w:customStyle="1" w:styleId="236">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7">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8">
    <w:name w:val="样式 正文缩进正文（首行缩进两字）表正文正文非缩进特点标题4段1 + 首行缩进:  2 字符"/>
    <w:basedOn w:val="17"/>
    <w:autoRedefine/>
    <w:qFormat/>
    <w:uiPriority w:val="0"/>
    <w:pPr>
      <w:ind w:firstLine="480" w:firstLineChars="200"/>
    </w:pPr>
  </w:style>
  <w:style w:type="paragraph" w:customStyle="1" w:styleId="239">
    <w:name w:val="可研正文"/>
    <w:basedOn w:val="24"/>
    <w:autoRedefine/>
    <w:qFormat/>
    <w:uiPriority w:val="0"/>
    <w:pPr>
      <w:adjustRightInd w:val="0"/>
      <w:snapToGrid w:val="0"/>
      <w:spacing w:line="440" w:lineRule="exact"/>
      <w:ind w:firstLine="567"/>
    </w:pPr>
    <w:rPr>
      <w:sz w:val="28"/>
    </w:rPr>
  </w:style>
  <w:style w:type="paragraph" w:customStyle="1" w:styleId="240">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1">
    <w:name w:val="Title - Date"/>
    <w:basedOn w:val="56"/>
    <w:next w:val="1"/>
    <w:autoRedefine/>
    <w:qFormat/>
    <w:uiPriority w:val="0"/>
    <w:pPr>
      <w:spacing w:before="240" w:after="720"/>
    </w:pPr>
    <w:rPr>
      <w:sz w:val="28"/>
    </w:rPr>
  </w:style>
  <w:style w:type="paragraph" w:customStyle="1" w:styleId="242">
    <w:name w:val="标题3——2"/>
    <w:basedOn w:val="6"/>
    <w:next w:val="58"/>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3">
    <w:name w:val="样式4"/>
    <w:basedOn w:val="7"/>
    <w:autoRedefine/>
    <w:qFormat/>
    <w:uiPriority w:val="0"/>
    <w:pPr>
      <w:adjustRightInd w:val="0"/>
      <w:snapToGrid w:val="0"/>
    </w:pPr>
  </w:style>
  <w:style w:type="paragraph" w:customStyle="1" w:styleId="244">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5">
    <w:name w:val="表文字"/>
    <w:autoRedefine/>
    <w:qFormat/>
    <w:uiPriority w:val="0"/>
    <w:rPr>
      <w:rFonts w:ascii="宋体" w:hAnsi="Times New Roman" w:eastAsia="宋体" w:cs="Times New Roman"/>
      <w:kern w:val="2"/>
      <w:sz w:val="20"/>
      <w:szCs w:val="20"/>
      <w:lang w:val="en-US" w:eastAsia="zh-CN" w:bidi="ar-SA"/>
    </w:rPr>
  </w:style>
  <w:style w:type="paragraph" w:customStyle="1" w:styleId="246">
    <w:name w:val="Char Char14 Char Char"/>
    <w:basedOn w:val="1"/>
    <w:autoRedefine/>
    <w:qFormat/>
    <w:uiPriority w:val="0"/>
    <w:rPr>
      <w:rFonts w:ascii="Times New Roman" w:hAnsi="Times New Roman" w:eastAsia="宋体" w:cs="Times New Roman"/>
      <w:szCs w:val="24"/>
    </w:rPr>
  </w:style>
  <w:style w:type="paragraph" w:customStyle="1" w:styleId="247">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8">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9">
    <w:name w:val="样式 标题 1章标题Heading 0Section HeadPIM 1H1h11st levell11H1..."/>
    <w:basedOn w:val="4"/>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50">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1">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2">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3">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4">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5">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6">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7">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8">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9">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60">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1">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2">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3">
    <w:name w:val="Char Char Char Char Char Char Char1"/>
    <w:basedOn w:val="19"/>
    <w:autoRedefine/>
    <w:qFormat/>
    <w:uiPriority w:val="0"/>
    <w:rPr>
      <w:rFonts w:ascii="宋体" w:hAnsi="Tahoma"/>
    </w:rPr>
  </w:style>
  <w:style w:type="paragraph" w:customStyle="1" w:styleId="264">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5">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6">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7">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8">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9">
    <w:name w:val="田 一级小标题"/>
    <w:basedOn w:val="270"/>
    <w:next w:val="17"/>
    <w:autoRedefine/>
    <w:qFormat/>
    <w:uiPriority w:val="0"/>
    <w:rPr>
      <w:b/>
    </w:rPr>
  </w:style>
  <w:style w:type="paragraph" w:customStyle="1" w:styleId="270">
    <w:name w:val="正文-田"/>
    <w:basedOn w:val="1"/>
    <w:autoRedefine/>
    <w:qFormat/>
    <w:uiPriority w:val="0"/>
    <w:rPr>
      <w:rFonts w:eastAsia="仿宋"/>
      <w:sz w:val="28"/>
    </w:rPr>
  </w:style>
  <w:style w:type="paragraph" w:customStyle="1" w:styleId="271">
    <w:name w:val="标题-田"/>
    <w:basedOn w:val="270"/>
    <w:autoRedefine/>
    <w:qFormat/>
    <w:uiPriority w:val="0"/>
    <w:pPr>
      <w:jc w:val="center"/>
    </w:pPr>
    <w:rPr>
      <w:rFonts w:eastAsia="宋体"/>
      <w:sz w:val="36"/>
    </w:rPr>
  </w:style>
  <w:style w:type="paragraph" w:customStyle="1" w:styleId="272">
    <w:name w:val="表格文字"/>
    <w:basedOn w:val="273"/>
    <w:autoRedefine/>
    <w:qFormat/>
    <w:uiPriority w:val="0"/>
    <w:pPr>
      <w:spacing w:before="25" w:after="25"/>
    </w:pPr>
    <w:rPr>
      <w:bCs/>
      <w:spacing w:val="10"/>
      <w:sz w:val="24"/>
    </w:rPr>
  </w:style>
  <w:style w:type="paragraph" w:customStyle="1" w:styleId="273">
    <w:name w:val="表格文字（两侧对齐）"/>
    <w:basedOn w:val="1"/>
    <w:autoRedefine/>
    <w:qFormat/>
    <w:uiPriority w:val="0"/>
    <w:pPr>
      <w:snapToGrid w:val="0"/>
    </w:pPr>
    <w:rPr>
      <w:rFonts w:ascii="Calibri" w:hAnsi="Calibri"/>
      <w:kern w:val="0"/>
      <w:sz w:val="20"/>
    </w:rPr>
  </w:style>
  <w:style w:type="character" w:customStyle="1" w:styleId="274">
    <w:name w:val="font11"/>
    <w:basedOn w:val="61"/>
    <w:qFormat/>
    <w:uiPriority w:val="0"/>
    <w:rPr>
      <w:rFonts w:hint="eastAsia" w:ascii="宋体" w:hAnsi="宋体" w:eastAsia="宋体" w:cs="宋体"/>
      <w:b/>
      <w:bCs/>
      <w:color w:val="000000"/>
      <w:sz w:val="22"/>
      <w:szCs w:val="22"/>
      <w:u w:val="none"/>
    </w:rPr>
  </w:style>
  <w:style w:type="character" w:customStyle="1" w:styleId="275">
    <w:name w:val="font61"/>
    <w:basedOn w:val="61"/>
    <w:qFormat/>
    <w:uiPriority w:val="0"/>
    <w:rPr>
      <w:rFonts w:hint="eastAsia" w:ascii="宋体" w:hAnsi="宋体" w:eastAsia="宋体" w:cs="宋体"/>
      <w:b/>
      <w:bCs/>
      <w:color w:val="000000"/>
      <w:sz w:val="24"/>
      <w:szCs w:val="24"/>
      <w:u w:val="none"/>
    </w:rPr>
  </w:style>
  <w:style w:type="character" w:customStyle="1" w:styleId="276">
    <w:name w:val="font71"/>
    <w:basedOn w:val="61"/>
    <w:qFormat/>
    <w:uiPriority w:val="0"/>
    <w:rPr>
      <w:rFonts w:ascii="宋体" w:hAnsi="宋体" w:eastAsia="宋体" w:cs="宋体"/>
      <w:b/>
      <w:bCs/>
      <w:color w:val="000000"/>
      <w:sz w:val="24"/>
      <w:szCs w:val="24"/>
      <w:u w:val="none"/>
    </w:rPr>
  </w:style>
  <w:style w:type="character" w:customStyle="1" w:styleId="277">
    <w:name w:val="font81"/>
    <w:basedOn w:val="61"/>
    <w:qFormat/>
    <w:uiPriority w:val="0"/>
    <w:rPr>
      <w:rFonts w:ascii="宋体" w:hAnsi="宋体" w:eastAsia="宋体" w:cs="宋体"/>
      <w:color w:val="000000"/>
      <w:sz w:val="24"/>
      <w:szCs w:val="24"/>
      <w:u w:val="none"/>
    </w:rPr>
  </w:style>
  <w:style w:type="character" w:customStyle="1" w:styleId="278">
    <w:name w:val="font31"/>
    <w:basedOn w:val="61"/>
    <w:qFormat/>
    <w:uiPriority w:val="0"/>
    <w:rPr>
      <w:rFonts w:hint="default" w:ascii="Times New Roman" w:hAnsi="Times New Roman" w:cs="Times New Roman"/>
      <w:color w:val="000000"/>
      <w:sz w:val="22"/>
      <w:szCs w:val="22"/>
      <w:u w:val="none"/>
    </w:rPr>
  </w:style>
  <w:style w:type="table" w:customStyle="1" w:styleId="27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49</Pages>
  <Words>12925</Words>
  <Characters>13440</Characters>
  <Lines>182</Lines>
  <Paragraphs>51</Paragraphs>
  <TotalTime>34</TotalTime>
  <ScaleCrop>false</ScaleCrop>
  <LinksUpToDate>false</LinksUpToDate>
  <CharactersWithSpaces>13517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2026-07-10T00:28:24Z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758EC219F78E431C84210D1116473D75_13</vt:lpwstr>
  </property>
  <property fmtid="{D5CDD505-2E9C-101B-9397-08002B2CF9AE}" pid="4" name="KSOTemplateDocerSaveRecord">
    <vt:lpwstr>eyJoZGlkIjoiMGNhYTczOTE1N2MwZWFmOTgzODAxNzA2NzEwM2VlN2YiLCJ1c2VySWQiOiIyNzY2MzA5OTgifQ==</vt:lpwstr>
  </property>
</Properties>
</file>