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2026FW067</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疏散通道防火门整改服务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23588"/>
      <w:bookmarkStart w:id="2" w:name="_Toc6921"/>
      <w:bookmarkStart w:id="3" w:name="_Toc11641050"/>
      <w:bookmarkStart w:id="4" w:name="_Toc485108766"/>
      <w:bookmarkStart w:id="5" w:name="_Toc25875"/>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疏散通道防火门整改服务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317775175"/>
      <w:bookmarkStart w:id="10" w:name="_Toc485108767"/>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疏散通道防火门整改服务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：自筹资金,项目预算：4.1万元。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5B35286">
      <w:pPr>
        <w:spacing w:line="48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消防设施工程专业承包贰级资质以上</w:t>
      </w:r>
    </w:p>
    <w:p w14:paraId="539A8D3E">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注：以上</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1项，需提供相应的证明材料并加盖公章。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27</w:t>
      </w:r>
      <w:bookmarkStart w:id="189" w:name="_GoBack"/>
      <w:bookmarkEnd w:id="189"/>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31390"/>
      <w:bookmarkStart w:id="29" w:name="_Toc913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1.本项目为包干价，包含材料费、运输费、人工费、机械使用费、管理费、安全文明施工费、税费等完成本项目所有工作的全部费用，采购人不再另行支付其他费用。(报价表见第六章)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3"/>
      <w:bookmarkStart w:id="38" w:name="OLE_LINK8"/>
      <w:bookmarkStart w:id="39" w:name="OLE_LINK9"/>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9143"/>
      <w:bookmarkStart w:id="41" w:name="_Toc18122"/>
      <w:bookmarkStart w:id="42" w:name="_Toc179714298"/>
      <w:bookmarkStart w:id="43" w:name="_Toc342913393"/>
      <w:bookmarkStart w:id="44" w:name="_Toc102227319"/>
      <w:bookmarkStart w:id="45" w:name="_Toc403569780"/>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403569781"/>
      <w:bookmarkStart w:id="47" w:name="_Toc14247"/>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29340"/>
      <w:bookmarkStart w:id="52" w:name="_Toc403569782"/>
      <w:bookmarkStart w:id="53"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102227321"/>
      <w:bookmarkStart w:id="55" w:name="_Toc342913395"/>
      <w:bookmarkStart w:id="56" w:name="_Toc3212"/>
      <w:bookmarkStart w:id="57" w:name="_Toc7135"/>
      <w:bookmarkStart w:id="58"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2880"/>
      <w:bookmarkStart w:id="60" w:name="_Toc403569784"/>
      <w:bookmarkStart w:id="61" w:name="_Toc17413"/>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6381"/>
      <w:bookmarkStart w:id="64" w:name="_Toc403569785"/>
      <w:bookmarkStart w:id="65" w:name="_Toc342913396"/>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485108784"/>
      <w:bookmarkStart w:id="68" w:name="_Toc11770"/>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485108787"/>
      <w:bookmarkStart w:id="72" w:name="_Toc12789058"/>
      <w:bookmarkStart w:id="73"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28BE4E6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1、对院区共计22 樘常闭式防火门进行改造，更换、加装配套装置，实现防火门常开功能，火灾状态下可联动自动关闭，具体改造点位、数量及位置详见《常闭式防火门改为常开情况统计》：</w:t>
      </w:r>
    </w:p>
    <w:tbl>
      <w:tblPr>
        <w:tblStyle w:val="58"/>
        <w:tblW w:w="0" w:type="auto"/>
        <w:jc w:val="center"/>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auto"/>
        <w:tblLayout w:type="fixed"/>
        <w:tblCellMar>
          <w:top w:w="0" w:type="dxa"/>
          <w:left w:w="120" w:type="dxa"/>
          <w:bottom w:w="210" w:type="dxa"/>
          <w:right w:w="120" w:type="dxa"/>
        </w:tblCellMar>
      </w:tblPr>
      <w:tblGrid>
        <w:gridCol w:w="1315"/>
        <w:gridCol w:w="1814"/>
        <w:gridCol w:w="1364"/>
        <w:gridCol w:w="1118"/>
        <w:gridCol w:w="3175"/>
      </w:tblGrid>
      <w:tr w14:paraId="0001DE9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0" w:type="dxa"/>
            <w:left w:w="120" w:type="dxa"/>
            <w:bottom w:w="210" w:type="dxa"/>
            <w:right w:w="120" w:type="dxa"/>
          </w:tblCellMar>
        </w:tblPrEx>
        <w:trPr>
          <w:trHeight w:val="961"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38C9697">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楼栋</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37A0AAE">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所在区域</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BF8774D">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楼层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6058065">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数量（樘）</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1B57BE">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具体位置</w:t>
            </w:r>
          </w:p>
        </w:tc>
      </w:tr>
      <w:tr w14:paraId="3AB4A8D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17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2C4A356">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CBB16B3">
            <w:pPr>
              <w:jc w:val="center"/>
              <w:rPr>
                <w:color w:val="000000" w:themeColor="text1"/>
                <w14:textFill>
                  <w14:solidFill>
                    <w14:schemeClr w14:val="tx1"/>
                  </w14:solidFill>
                </w14:textFill>
              </w:rPr>
            </w:pPr>
            <w:r>
              <w:rPr>
                <w:color w:val="000000" w:themeColor="text1"/>
                <w14:textFill>
                  <w14:solidFill>
                    <w14:schemeClr w14:val="tx1"/>
                  </w14:solidFill>
                </w14:textFill>
              </w:rPr>
              <w:t>健康管理中心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062AD6B">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4A393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6EAB77">
            <w:pPr>
              <w:jc w:val="center"/>
              <w:rPr>
                <w:color w:val="000000" w:themeColor="text1"/>
                <w14:textFill>
                  <w14:solidFill>
                    <w14:schemeClr w14:val="tx1"/>
                  </w14:solidFill>
                </w14:textFill>
              </w:rPr>
            </w:pPr>
            <w:r>
              <w:rPr>
                <w:color w:val="000000" w:themeColor="text1"/>
                <w14:textFill>
                  <w14:solidFill>
                    <w14:schemeClr w14:val="tx1"/>
                  </w14:solidFill>
                </w14:textFill>
              </w:rPr>
              <w:t>后侧大厅右侧</w:t>
            </w:r>
          </w:p>
        </w:tc>
      </w:tr>
      <w:tr w14:paraId="3141252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486"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FBDBA7C">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CA80F58">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6619D2E">
            <w:pPr>
              <w:jc w:val="center"/>
              <w:rPr>
                <w:color w:val="000000" w:themeColor="text1"/>
                <w14:textFill>
                  <w14:solidFill>
                    <w14:schemeClr w14:val="tx1"/>
                  </w14:solidFill>
                </w14:textFill>
              </w:rPr>
            </w:pPr>
            <w:r>
              <w:rPr>
                <w:color w:val="000000" w:themeColor="text1"/>
                <w14:textFill>
                  <w14:solidFill>
                    <w14:schemeClr w14:val="tx1"/>
                  </w14:solidFill>
                </w14:textFill>
              </w:rPr>
              <w:t>6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9D7AB13">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1CAEF0B">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34CAF4B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269"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B3A3C4E">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4284397">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7B5EE18">
            <w:pPr>
              <w:jc w:val="center"/>
              <w:rPr>
                <w:color w:val="000000" w:themeColor="text1"/>
                <w14:textFill>
                  <w14:solidFill>
                    <w14:schemeClr w14:val="tx1"/>
                  </w14:solidFill>
                </w14:textFill>
              </w:rPr>
            </w:pPr>
            <w:r>
              <w:rPr>
                <w:color w:val="000000" w:themeColor="text1"/>
                <w14:textFill>
                  <w14:solidFill>
                    <w14:schemeClr w14:val="tx1"/>
                  </w14:solidFill>
                </w14:textFill>
              </w:rPr>
              <w:t>7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97BDA7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F791FF0">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57B1CC3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31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91A9845">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508B13">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8F422FA">
            <w:pPr>
              <w:jc w:val="center"/>
              <w:rPr>
                <w:color w:val="000000" w:themeColor="text1"/>
                <w14:textFill>
                  <w14:solidFill>
                    <w14:schemeClr w14:val="tx1"/>
                  </w14:solidFill>
                </w14:textFill>
              </w:rPr>
            </w:pPr>
            <w:r>
              <w:rPr>
                <w:color w:val="000000" w:themeColor="text1"/>
                <w14:textFill>
                  <w14:solidFill>
                    <w14:schemeClr w14:val="tx1"/>
                  </w14:solidFill>
                </w14:textFill>
              </w:rPr>
              <w:t>8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8EED12C">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CDB64AC">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0CAF533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782"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5AF50B03">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5B45D8A">
            <w:pPr>
              <w:jc w:val="center"/>
              <w:rPr>
                <w:color w:val="000000" w:themeColor="text1"/>
                <w14:textFill>
                  <w14:solidFill>
                    <w14:schemeClr w14:val="tx1"/>
                  </w14:solidFill>
                </w14:textFill>
              </w:rPr>
            </w:pPr>
            <w:r>
              <w:rPr>
                <w:color w:val="000000" w:themeColor="text1"/>
                <w14:textFill>
                  <w14:solidFill>
                    <w14:schemeClr w14:val="tx1"/>
                  </w14:solidFill>
                </w14:textFill>
              </w:rPr>
              <w:t>急诊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3753CBD">
            <w:pPr>
              <w:jc w:val="center"/>
              <w:rPr>
                <w:color w:val="000000" w:themeColor="text1"/>
                <w14:textFill>
                  <w14:solidFill>
                    <w14:schemeClr w14:val="tx1"/>
                  </w14:solidFill>
                </w14:textFill>
              </w:rPr>
            </w:pPr>
            <w:r>
              <w:rPr>
                <w:color w:val="000000" w:themeColor="text1"/>
                <w14:textFill>
                  <w14:solidFill>
                    <w14:schemeClr w14:val="tx1"/>
                  </w14:solidFill>
                </w14:textFill>
              </w:rPr>
              <w:t>负 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3A8150B">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3C46E7">
            <w:pPr>
              <w:jc w:val="center"/>
              <w:rPr>
                <w:color w:val="000000" w:themeColor="text1"/>
                <w14:textFill>
                  <w14:solidFill>
                    <w14:schemeClr w14:val="tx1"/>
                  </w14:solidFill>
                </w14:textFill>
              </w:rPr>
            </w:pPr>
            <w:r>
              <w:rPr>
                <w:color w:val="000000" w:themeColor="text1"/>
                <w14:textFill>
                  <w14:solidFill>
                    <w14:schemeClr w14:val="tx1"/>
                  </w14:solidFill>
                </w14:textFill>
              </w:rPr>
              <w:t>A12 诊室旁、A01 风机房旁、A19 急诊 DR 室旁</w:t>
            </w:r>
          </w:p>
          <w:p w14:paraId="2D78C1CB">
            <w:pPr>
              <w:jc w:val="center"/>
              <w:rPr>
                <w:color w:val="000000" w:themeColor="text1"/>
                <w14:textFill>
                  <w14:solidFill>
                    <w14:schemeClr w14:val="tx1"/>
                  </w14:solidFill>
                </w14:textFill>
              </w:rPr>
            </w:pPr>
            <w:r>
              <w:rPr>
                <w:color w:val="000000" w:themeColor="text1"/>
                <w14:textFill>
                  <w14:solidFill>
                    <w14:schemeClr w14:val="tx1"/>
                  </w14:solidFill>
                </w14:textFill>
              </w:rPr>
              <w:t>控制室旁通道处、27 号电梯前室（2 樘）、16 病床旁</w:t>
            </w:r>
          </w:p>
        </w:tc>
      </w:tr>
      <w:tr w14:paraId="07A4134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D18A0AD">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4D8E70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0251E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B21AE9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633AD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海扶中心</w:t>
            </w:r>
          </w:p>
        </w:tc>
      </w:tr>
      <w:tr w14:paraId="479A1C5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84246B">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475FB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D38ADC6">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26F44F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1B6A9B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医疗主街</w:t>
            </w:r>
          </w:p>
        </w:tc>
      </w:tr>
      <w:tr w14:paraId="68299C6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214"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E3CF76F">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3ED5D6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424160C">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76EB2F6">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CD450B9">
            <w:pPr>
              <w:jc w:val="center"/>
              <w:rPr>
                <w:color w:val="000000" w:themeColor="text1"/>
                <w14:textFill>
                  <w14:solidFill>
                    <w14:schemeClr w14:val="tx1"/>
                  </w14:solidFill>
                </w14:textFill>
              </w:rPr>
            </w:pPr>
            <w:r>
              <w:rPr>
                <w:color w:val="000000" w:themeColor="text1"/>
                <w14:textFill>
                  <w14:solidFill>
                    <w14:schemeClr w14:val="tx1"/>
                  </w14:solidFill>
                </w14:textFill>
              </w:rPr>
              <w:t>儿童内科</w:t>
            </w:r>
          </w:p>
        </w:tc>
      </w:tr>
      <w:tr w14:paraId="2762E6A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F61008B">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75E9D0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3BAE8CA">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4815FA8">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3F7472">
            <w:pPr>
              <w:jc w:val="center"/>
              <w:rPr>
                <w:color w:val="000000" w:themeColor="text1"/>
                <w14:textFill>
                  <w14:solidFill>
                    <w14:schemeClr w14:val="tx1"/>
                  </w14:solidFill>
                </w14:textFill>
              </w:rPr>
            </w:pPr>
            <w:r>
              <w:rPr>
                <w:color w:val="000000" w:themeColor="text1"/>
                <w14:textFill>
                  <w14:solidFill>
                    <w14:schemeClr w14:val="tx1"/>
                  </w14:solidFill>
                </w14:textFill>
              </w:rPr>
              <w:t>泌尿外科门诊</w:t>
            </w:r>
          </w:p>
        </w:tc>
      </w:tr>
      <w:tr w14:paraId="3FAF1DB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838233D">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AC8A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食堂</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25BFB3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负一层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5DC19D3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7B902D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24号电梯旁</w:t>
            </w:r>
          </w:p>
        </w:tc>
      </w:tr>
      <w:tr w14:paraId="58CD04D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170" w:hRule="atLeast"/>
          <w:jc w:val="center"/>
        </w:trPr>
        <w:tc>
          <w:tcPr>
            <w:tcW w:w="4493" w:type="dxa"/>
            <w:gridSpan w:val="3"/>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12E77E">
            <w:pPr>
              <w:jc w:val="center"/>
              <w:rPr>
                <w:color w:val="000000" w:themeColor="text1"/>
                <w14:textFill>
                  <w14:solidFill>
                    <w14:schemeClr w14:val="tx1"/>
                  </w14:solidFill>
                </w14:textFill>
              </w:rPr>
            </w:pPr>
            <w:r>
              <w:rPr>
                <w:rFonts w:hint="eastAsia" w:ascii="Segoe UI Emoji" w:hAnsi="Segoe UI Emoji" w:eastAsia="Segoe UI Emoji" w:cs="Segoe UI Emoji"/>
                <w:b/>
                <w:bCs/>
                <w:color w:val="000000" w:themeColor="text1"/>
                <w:kern w:val="0"/>
                <w:sz w:val="24"/>
                <w:lang w:bidi="ar"/>
                <w14:textFill>
                  <w14:solidFill>
                    <w14:schemeClr w14:val="tx1"/>
                  </w14:solidFill>
                </w14:textFill>
              </w:rPr>
              <w:t>总计</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479E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29C148C">
            <w:pPr>
              <w:jc w:val="center"/>
              <w:rPr>
                <w:color w:val="000000" w:themeColor="text1"/>
                <w14:textFill>
                  <w14:solidFill>
                    <w14:schemeClr w14:val="tx1"/>
                  </w14:solidFill>
                </w14:textFill>
              </w:rPr>
            </w:pPr>
          </w:p>
        </w:tc>
      </w:tr>
    </w:tbl>
    <w:p w14:paraId="796A11BC">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165CEA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2.服务要求：①施工范围：按照附件清单完成全院区 22 樘常闭防火门改造作业，涉及全科楼、医疗楼不同区域、楼层防火门，包含设备加装、线路布设、调试检测等全部工作。</w:t>
      </w:r>
    </w:p>
    <w:p w14:paraId="18C9924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②功能要求：改造完成后的常开式防火门需满足消防规范要求，正常状态下保持常开，发生火灾时可实现本防火分区内防火门联动自动关闭，动作灵敏、响应及时，保障消防安全。</w:t>
      </w:r>
    </w:p>
    <w:p w14:paraId="1F1764A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③产品与施工标准：本次项目所用设备、配件均为正规厂家全新合格产品，各项参数、性能严格符合国家现行消防产品质量标准、规范要求。</w:t>
      </w:r>
    </w:p>
    <w:p w14:paraId="23726033">
      <w:pPr>
        <w:rPr>
          <w:rFonts w:hint="default" w:ascii="宋体" w:hAnsi="宋体" w:eastAsia="宋体" w:cs="宋体"/>
          <w:b/>
          <w:color w:val="000000" w:themeColor="text1"/>
          <w:sz w:val="36"/>
          <w:szCs w:val="36"/>
          <w:shd w:val="clear" w:color="auto" w:fill="auto"/>
          <w:lang w:val="en-US" w:eastAsia="zh-CN"/>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E2AF6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F23021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98AE22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E496F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52A9D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A7A29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FCE2F30">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2351F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38A324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05B00D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265249B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96A00CC">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022A50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178DAA3">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B45BFFB">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AE5ED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252B658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3F7A1A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AE114D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95D7A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C67EA7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6BF62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4364"/>
      <w:bookmarkStart w:id="75"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C58B94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 xml:space="preserve">1.工期：在正式合同签订后20个日历内完成。 </w:t>
      </w:r>
    </w:p>
    <w:p w14:paraId="295C841A">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现场勘察：服务方应到现场进行勘察，充分了解项目场地情况。现场勘察联系人：罗老师，联系电话：15703051219，勘察时间需提前与联系人协商确定。服务方未进行现场勘察或勘察前提交报价，视为已完全了解项目所有情况，后续不得因场地情况等问题提出额外费用或调整报价。</w:t>
      </w:r>
    </w:p>
    <w:p w14:paraId="5007EAF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3.报价方式：本项目为包干价，包含材料费、运输费、人工费、机械使用费、管理费、安全文明施工费、税费等完成本项目所有工作的全部费用，采购人不再另行支付其他费用。</w:t>
      </w:r>
    </w:p>
    <w:p w14:paraId="25419F9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4.质保要求：本项目所有产品、配套装置及施工工程整体质保期不少于 1 年。质保期内，因产品质量、施工问题造成的设备自然损坏、故障，服务商须免费维修、更换配件及设备。</w:t>
      </w:r>
    </w:p>
    <w:p w14:paraId="40A6012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5.验收方式：安装调试正常运行后，由采购方组织服务方与消防维保单位共同验收，验收合格后共同签字确认，服务方还需提供所用配件产品合格证。</w:t>
      </w:r>
    </w:p>
    <w:p w14:paraId="691F74C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6.付款方式：合同签订后供货商向采购方转账支付合同金额的8%作为履约保证金。采购方凭验收资料和合法发票后60日内转账支付合同价款，履约保证金在质保期满后无息支付。</w:t>
      </w:r>
    </w:p>
    <w:p w14:paraId="7EA1680D">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售后服务：供货商接到采购方通知后应立即响应，电话咨询不能解决的应在24小时内安排技术人员到达现场处理，直至解除设施故障，给采购方造成损失的还应由供货商负责赔偿。供货商应认真履行售后服务承诺，质保期后提供售后服务的，维修只收取配件费。供货商提供有效的售后联系人和电话，如有变更，应及时通知采购方。</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14840"/>
      <w:bookmarkStart w:id="83" w:name="_Toc403569796"/>
      <w:bookmarkStart w:id="84" w:name="_Toc15711"/>
      <w:bookmarkStart w:id="85" w:name="_Toc485108794"/>
      <w:bookmarkStart w:id="86" w:name="_Toc26989"/>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54718204"/>
      <w:bookmarkStart w:id="100"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8"/>
        <w:tblW w:w="8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000"/>
        <w:gridCol w:w="1297"/>
        <w:gridCol w:w="1779"/>
        <w:gridCol w:w="1779"/>
        <w:gridCol w:w="1297"/>
      </w:tblGrid>
      <w:tr w14:paraId="49F3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594" w:type="dxa"/>
            <w:vAlign w:val="center"/>
          </w:tcPr>
          <w:p w14:paraId="7CD85FAB">
            <w:pPr>
              <w:jc w:val="center"/>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项目</w:t>
            </w:r>
            <w:r>
              <w:rPr>
                <w:rFonts w:hint="eastAsia"/>
                <w:b/>
                <w:bCs/>
                <w:color w:val="000000" w:themeColor="text1"/>
                <w14:textFill>
                  <w14:solidFill>
                    <w14:schemeClr w14:val="tx1"/>
                  </w14:solidFill>
                </w14:textFill>
              </w:rPr>
              <w:t>名称</w:t>
            </w:r>
          </w:p>
        </w:tc>
        <w:tc>
          <w:tcPr>
            <w:tcW w:w="1000" w:type="dxa"/>
            <w:vAlign w:val="center"/>
          </w:tcPr>
          <w:p w14:paraId="13DB2C78">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数量</w:t>
            </w:r>
          </w:p>
        </w:tc>
        <w:tc>
          <w:tcPr>
            <w:tcW w:w="1297" w:type="dxa"/>
            <w:vAlign w:val="center"/>
          </w:tcPr>
          <w:p w14:paraId="5A45A91F">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单位</w:t>
            </w:r>
          </w:p>
        </w:tc>
        <w:tc>
          <w:tcPr>
            <w:tcW w:w="1779" w:type="dxa"/>
            <w:vAlign w:val="center"/>
          </w:tcPr>
          <w:p w14:paraId="3D75E693">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单价（元）</w:t>
            </w:r>
          </w:p>
        </w:tc>
        <w:tc>
          <w:tcPr>
            <w:tcW w:w="1779" w:type="dxa"/>
            <w:vAlign w:val="center"/>
          </w:tcPr>
          <w:p w14:paraId="6F1B66D9">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总价（元）</w:t>
            </w:r>
          </w:p>
        </w:tc>
        <w:tc>
          <w:tcPr>
            <w:tcW w:w="1297" w:type="dxa"/>
            <w:vAlign w:val="center"/>
          </w:tcPr>
          <w:p w14:paraId="09457DAF">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14:paraId="22B0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1594" w:type="dxa"/>
            <w:vAlign w:val="center"/>
          </w:tcPr>
          <w:p w14:paraId="175B80D8">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疏散通道防火门整改服务</w:t>
            </w:r>
          </w:p>
        </w:tc>
        <w:tc>
          <w:tcPr>
            <w:tcW w:w="1000" w:type="dxa"/>
            <w:vAlign w:val="center"/>
          </w:tcPr>
          <w:p w14:paraId="2C6AACC5">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w:t>
            </w:r>
          </w:p>
        </w:tc>
        <w:tc>
          <w:tcPr>
            <w:tcW w:w="1297" w:type="dxa"/>
            <w:vAlign w:val="center"/>
          </w:tcPr>
          <w:p w14:paraId="1372D44A">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樘</w:t>
            </w:r>
          </w:p>
        </w:tc>
        <w:tc>
          <w:tcPr>
            <w:tcW w:w="1779" w:type="dxa"/>
            <w:vAlign w:val="center"/>
          </w:tcPr>
          <w:p w14:paraId="3746E2BD">
            <w:pPr>
              <w:spacing w:line="400" w:lineRule="exact"/>
              <w:jc w:val="center"/>
              <w:rPr>
                <w:rFonts w:hint="eastAsia" w:ascii="宋体" w:hAnsi="宋体"/>
                <w:color w:val="000000" w:themeColor="text1"/>
                <w:sz w:val="24"/>
                <w14:textFill>
                  <w14:solidFill>
                    <w14:schemeClr w14:val="tx1"/>
                  </w14:solidFill>
                </w14:textFill>
              </w:rPr>
            </w:pPr>
          </w:p>
        </w:tc>
        <w:tc>
          <w:tcPr>
            <w:tcW w:w="1779" w:type="dxa"/>
            <w:vAlign w:val="center"/>
          </w:tcPr>
          <w:p w14:paraId="35754DEB">
            <w:pPr>
              <w:spacing w:line="300" w:lineRule="exact"/>
              <w:jc w:val="center"/>
              <w:rPr>
                <w:rFonts w:hint="eastAsia" w:ascii="宋体" w:hAnsi="宋体"/>
                <w:color w:val="000000" w:themeColor="text1"/>
                <w:sz w:val="24"/>
                <w14:textFill>
                  <w14:solidFill>
                    <w14:schemeClr w14:val="tx1"/>
                  </w14:solidFill>
                </w14:textFill>
              </w:rPr>
            </w:pPr>
          </w:p>
        </w:tc>
        <w:tc>
          <w:tcPr>
            <w:tcW w:w="1297" w:type="dxa"/>
          </w:tcPr>
          <w:p w14:paraId="703B015E">
            <w:pPr>
              <w:spacing w:line="300" w:lineRule="exact"/>
              <w:jc w:val="center"/>
              <w:rPr>
                <w:rFonts w:hint="eastAsia" w:ascii="宋体" w:hAnsi="宋体"/>
                <w:color w:val="000000" w:themeColor="text1"/>
                <w:sz w:val="24"/>
                <w14:textFill>
                  <w14:solidFill>
                    <w14:schemeClr w14:val="tx1"/>
                  </w14:solidFill>
                </w14:textFill>
              </w:rPr>
            </w:pPr>
          </w:p>
        </w:tc>
      </w:tr>
      <w:tr w14:paraId="13E6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670" w:type="dxa"/>
            <w:gridSpan w:val="4"/>
            <w:vAlign w:val="center"/>
          </w:tcPr>
          <w:p w14:paraId="2038B1DB">
            <w:pPr>
              <w:spacing w:line="400" w:lineRule="exact"/>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质保期（年）</w:t>
            </w:r>
          </w:p>
        </w:tc>
        <w:tc>
          <w:tcPr>
            <w:tcW w:w="3076" w:type="dxa"/>
            <w:gridSpan w:val="2"/>
            <w:vAlign w:val="center"/>
          </w:tcPr>
          <w:p w14:paraId="7282EB80">
            <w:pPr>
              <w:spacing w:line="300" w:lineRule="exact"/>
              <w:jc w:val="center"/>
              <w:rPr>
                <w:rFonts w:hint="eastAsia" w:ascii="宋体" w:hAnsi="宋体"/>
                <w:color w:val="000000" w:themeColor="text1"/>
                <w:sz w:val="24"/>
                <w14:textFill>
                  <w14:solidFill>
                    <w14:schemeClr w14:val="tx1"/>
                  </w14:solidFill>
                </w14:textFill>
              </w:rPr>
            </w:pPr>
          </w:p>
        </w:tc>
      </w:tr>
    </w:tbl>
    <w:p w14:paraId="7379D822">
      <w:pPr>
        <w:spacing w:line="360" w:lineRule="auto"/>
        <w:rPr>
          <w:rFonts w:hint="eastAsia" w:ascii="宋体" w:hAnsi="宋体"/>
          <w:color w:val="000000" w:themeColor="text1"/>
          <w:sz w:val="28"/>
          <w:szCs w:val="28"/>
          <w14:textFill>
            <w14:solidFill>
              <w14:schemeClr w14:val="tx1"/>
            </w14:solidFill>
          </w14:textFill>
        </w:rPr>
      </w:pPr>
    </w:p>
    <w:p w14:paraId="46420D74">
      <w:pPr>
        <w:spacing w:line="360" w:lineRule="auto"/>
        <w:rPr>
          <w:rFonts w:hint="eastAsia" w:ascii="仿宋" w:hAnsi="仿宋" w:eastAsia="仿宋"/>
          <w:b/>
          <w:bCs/>
          <w:color w:val="000000" w:themeColor="text1"/>
          <w:sz w:val="32"/>
          <w:szCs w:val="32"/>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备注：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本项目为包干价，包含材料费、运输费、人工费、机械使用费、管理费、安全文明施工费、税费等完成本项目所有工作的全部费用，采购人不再另行支付其他费用。</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572FFD56">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2A78D60F">
      <w:pPr>
        <w:rPr>
          <w:rFonts w:hint="eastAsia" w:ascii="宋体" w:hAnsi="宋体" w:eastAsia="宋体" w:cs="宋体"/>
          <w:b/>
          <w:color w:val="000000" w:themeColor="text1"/>
          <w:shd w:val="clear" w:color="auto" w:fill="auto"/>
          <w14:textFill>
            <w14:solidFill>
              <w14:schemeClr w14:val="tx1"/>
            </w14:solidFill>
          </w14:textFill>
        </w:rPr>
      </w:pPr>
    </w:p>
    <w:p w14:paraId="741EA25E">
      <w:pPr>
        <w:rPr>
          <w:rFonts w:hint="eastAsia" w:ascii="宋体" w:hAnsi="宋体" w:eastAsia="宋体" w:cs="宋体"/>
          <w:b/>
          <w:color w:val="000000" w:themeColor="text1"/>
          <w:shd w:val="clear" w:color="auto" w:fill="auto"/>
          <w14:textFill>
            <w14:solidFill>
              <w14:schemeClr w14:val="tx1"/>
            </w14:solidFill>
          </w14:textFill>
        </w:rPr>
      </w:pPr>
    </w:p>
    <w:p w14:paraId="5DD64929">
      <w:pPr>
        <w:rPr>
          <w:rFonts w:hint="eastAsia" w:ascii="宋体" w:hAnsi="宋体" w:eastAsia="宋体" w:cs="宋体"/>
          <w:b/>
          <w:color w:val="000000" w:themeColor="text1"/>
          <w:shd w:val="clear" w:color="auto" w:fill="auto"/>
          <w14:textFill>
            <w14:solidFill>
              <w14:schemeClr w14:val="tx1"/>
            </w14:solidFill>
          </w14:textFill>
        </w:rPr>
      </w:pPr>
    </w:p>
    <w:p w14:paraId="024645CC">
      <w:pPr>
        <w:rPr>
          <w:rFonts w:hint="eastAsia" w:ascii="宋体" w:hAnsi="宋体" w:eastAsia="宋体" w:cs="宋体"/>
          <w:b/>
          <w:color w:val="000000" w:themeColor="text1"/>
          <w:shd w:val="clear" w:color="auto" w:fill="auto"/>
          <w14:textFill>
            <w14:solidFill>
              <w14:schemeClr w14:val="tx1"/>
            </w14:solidFill>
          </w14:textFill>
        </w:rPr>
      </w:pPr>
    </w:p>
    <w:p w14:paraId="2DF50940">
      <w:pPr>
        <w:rPr>
          <w:rFonts w:hint="eastAsia" w:ascii="宋体" w:hAnsi="宋体" w:eastAsia="宋体" w:cs="宋体"/>
          <w:b/>
          <w:color w:val="000000" w:themeColor="text1"/>
          <w:shd w:val="clear" w:color="auto" w:fill="auto"/>
          <w14:textFill>
            <w14:solidFill>
              <w14:schemeClr w14:val="tx1"/>
            </w14:solidFill>
          </w14:textFill>
        </w:rPr>
      </w:pPr>
    </w:p>
    <w:p w14:paraId="06DF536C">
      <w:pPr>
        <w:rPr>
          <w:rFonts w:hint="eastAsia" w:ascii="宋体" w:hAnsi="宋体" w:eastAsia="宋体" w:cs="宋体"/>
          <w:b/>
          <w:color w:val="000000" w:themeColor="text1"/>
          <w:shd w:val="clear" w:color="auto" w:fill="auto"/>
          <w14:textFill>
            <w14:solidFill>
              <w14:schemeClr w14:val="tx1"/>
            </w14:solidFill>
          </w14:textFill>
        </w:rPr>
      </w:pPr>
    </w:p>
    <w:p w14:paraId="324F8A2C">
      <w:pPr>
        <w:rPr>
          <w:rFonts w:hint="eastAsia" w:ascii="宋体" w:hAnsi="宋体" w:eastAsia="宋体" w:cs="宋体"/>
          <w:b/>
          <w:color w:val="000000" w:themeColor="text1"/>
          <w:shd w:val="clear" w:color="auto" w:fill="auto"/>
          <w14:textFill>
            <w14:solidFill>
              <w14:schemeClr w14:val="tx1"/>
            </w14:solidFill>
          </w14:textFill>
        </w:rPr>
      </w:pPr>
    </w:p>
    <w:p w14:paraId="5E69C4BC">
      <w:pPr>
        <w:rPr>
          <w:rFonts w:hint="eastAsia" w:ascii="宋体" w:hAnsi="宋体" w:eastAsia="宋体" w:cs="宋体"/>
          <w:b/>
          <w:color w:val="000000" w:themeColor="text1"/>
          <w:shd w:val="clear" w:color="auto" w:fill="auto"/>
          <w14:textFill>
            <w14:solidFill>
              <w14:schemeClr w14:val="tx1"/>
            </w14:solidFill>
          </w14:textFill>
        </w:rPr>
      </w:pPr>
    </w:p>
    <w:p w14:paraId="3B826CD1">
      <w:pPr>
        <w:rPr>
          <w:rFonts w:hint="eastAsia" w:ascii="宋体" w:hAnsi="宋体" w:eastAsia="宋体" w:cs="宋体"/>
          <w:b/>
          <w:color w:val="000000" w:themeColor="text1"/>
          <w:shd w:val="clear" w:color="auto" w:fill="auto"/>
          <w14:textFill>
            <w14:solidFill>
              <w14:schemeClr w14:val="tx1"/>
            </w14:solidFill>
          </w14:textFill>
        </w:rPr>
      </w:pPr>
    </w:p>
    <w:p w14:paraId="1BB08326">
      <w:pPr>
        <w:rPr>
          <w:rFonts w:hint="eastAsia" w:ascii="宋体" w:hAnsi="宋体" w:eastAsia="宋体" w:cs="宋体"/>
          <w:b/>
          <w:color w:val="000000" w:themeColor="text1"/>
          <w:shd w:val="clear" w:color="auto" w:fill="auto"/>
          <w14:textFill>
            <w14:solidFill>
              <w14:schemeClr w14:val="tx1"/>
            </w14:solidFill>
          </w14:textFill>
        </w:rPr>
      </w:pPr>
    </w:p>
    <w:p w14:paraId="744C7276">
      <w:pPr>
        <w:rPr>
          <w:rFonts w:hint="eastAsia" w:ascii="宋体" w:hAnsi="宋体" w:eastAsia="宋体" w:cs="宋体"/>
          <w:b/>
          <w:color w:val="000000" w:themeColor="text1"/>
          <w:shd w:val="clear" w:color="auto" w:fill="auto"/>
          <w14:textFill>
            <w14:solidFill>
              <w14:schemeClr w14:val="tx1"/>
            </w14:solidFill>
          </w14:textFill>
        </w:rPr>
      </w:pPr>
    </w:p>
    <w:p w14:paraId="1721849D">
      <w:pPr>
        <w:rPr>
          <w:rFonts w:hint="eastAsia" w:ascii="宋体" w:hAnsi="宋体" w:eastAsia="宋体" w:cs="宋体"/>
          <w:b/>
          <w:color w:val="000000" w:themeColor="text1"/>
          <w:shd w:val="clear" w:color="auto" w:fill="auto"/>
          <w14:textFill>
            <w14:solidFill>
              <w14:schemeClr w14:val="tx1"/>
            </w14:solidFill>
          </w14:textFill>
        </w:rPr>
      </w:pPr>
    </w:p>
    <w:p w14:paraId="4639F306">
      <w:pPr>
        <w:rPr>
          <w:rFonts w:hint="eastAsia" w:ascii="宋体" w:hAnsi="宋体" w:eastAsia="宋体" w:cs="宋体"/>
          <w:b/>
          <w:color w:val="000000" w:themeColor="text1"/>
          <w:shd w:val="clear" w:color="auto" w:fill="auto"/>
          <w14:textFill>
            <w14:solidFill>
              <w14:schemeClr w14:val="tx1"/>
            </w14:solidFill>
          </w14:textFill>
        </w:rPr>
      </w:pPr>
    </w:p>
    <w:p w14:paraId="41FC1AED">
      <w:pPr>
        <w:rPr>
          <w:rFonts w:hint="eastAsia" w:ascii="宋体" w:hAnsi="宋体" w:eastAsia="宋体" w:cs="宋体"/>
          <w:b/>
          <w:color w:val="000000" w:themeColor="text1"/>
          <w:shd w:val="clear" w:color="auto" w:fill="auto"/>
          <w14:textFill>
            <w14:solidFill>
              <w14:schemeClr w14:val="tx1"/>
            </w14:solidFill>
          </w14:textFill>
        </w:rPr>
      </w:pPr>
    </w:p>
    <w:p w14:paraId="1FE89CB4">
      <w:pPr>
        <w:rPr>
          <w:rFonts w:hint="eastAsia" w:ascii="宋体" w:hAnsi="宋体" w:eastAsia="宋体" w:cs="宋体"/>
          <w:b/>
          <w:color w:val="000000" w:themeColor="text1"/>
          <w:shd w:val="clear" w:color="auto" w:fill="auto"/>
          <w14:textFill>
            <w14:solidFill>
              <w14:schemeClr w14:val="tx1"/>
            </w14:solidFill>
          </w14:textFill>
        </w:rPr>
      </w:pPr>
    </w:p>
    <w:p w14:paraId="4F57C3E1">
      <w:pPr>
        <w:rPr>
          <w:rFonts w:hint="eastAsia" w:ascii="宋体" w:hAnsi="宋体" w:eastAsia="宋体" w:cs="宋体"/>
          <w:b/>
          <w:color w:val="000000" w:themeColor="text1"/>
          <w:shd w:val="clear" w:color="auto" w:fill="auto"/>
          <w14:textFill>
            <w14:solidFill>
              <w14:schemeClr w14:val="tx1"/>
            </w14:solidFill>
          </w14:textFill>
        </w:rPr>
      </w:pPr>
    </w:p>
    <w:p w14:paraId="16FC606E">
      <w:pPr>
        <w:rPr>
          <w:rFonts w:hint="eastAsia" w:ascii="宋体" w:hAnsi="宋体" w:eastAsia="宋体" w:cs="宋体"/>
          <w:b/>
          <w:color w:val="000000" w:themeColor="text1"/>
          <w:shd w:val="clear" w:color="auto" w:fill="auto"/>
          <w14:textFill>
            <w14:solidFill>
              <w14:schemeClr w14:val="tx1"/>
            </w14:solidFill>
          </w14:textFill>
        </w:rPr>
      </w:pPr>
    </w:p>
    <w:p w14:paraId="2742C8D7">
      <w:pPr>
        <w:rPr>
          <w:rFonts w:hint="eastAsia" w:ascii="宋体" w:hAnsi="宋体" w:eastAsia="宋体" w:cs="宋体"/>
          <w:b/>
          <w:color w:val="000000" w:themeColor="text1"/>
          <w:shd w:val="clear" w:color="auto" w:fill="auto"/>
          <w14:textFill>
            <w14:solidFill>
              <w14:schemeClr w14:val="tx1"/>
            </w14:solidFill>
          </w14:textFill>
        </w:rPr>
      </w:pPr>
    </w:p>
    <w:p w14:paraId="42575334">
      <w:pPr>
        <w:rPr>
          <w:rFonts w:hint="eastAsia" w:ascii="宋体" w:hAnsi="宋体" w:eastAsia="宋体" w:cs="宋体"/>
          <w:b/>
          <w:color w:val="000000" w:themeColor="text1"/>
          <w:shd w:val="clear" w:color="auto" w:fill="auto"/>
          <w14:textFill>
            <w14:solidFill>
              <w14:schemeClr w14:val="tx1"/>
            </w14:solidFill>
          </w14:textFill>
        </w:rPr>
      </w:pPr>
    </w:p>
    <w:p w14:paraId="71FC7752">
      <w:pPr>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23584"/>
      <w:bookmarkStart w:id="178"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A9252A-B83B-4E0C-A9E5-776B97B1538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290A6E79-015B-450B-BEB6-64ADC5B5379D}"/>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619CC259-4651-4F91-A69C-5C8196B0FEAB}"/>
  </w:font>
  <w:font w:name="Segoe UI Emoji">
    <w:altName w:val="Segoe UI"/>
    <w:panose1 w:val="020B0502040204020203"/>
    <w:charset w:val="00"/>
    <w:family w:val="swiss"/>
    <w:pitch w:val="default"/>
    <w:sig w:usb0="00000000" w:usb1="00000000" w:usb2="08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3320A6"/>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886FEA"/>
    <w:rsid w:val="109D57E0"/>
    <w:rsid w:val="10BF5E9B"/>
    <w:rsid w:val="111523FC"/>
    <w:rsid w:val="111C3A01"/>
    <w:rsid w:val="11782A26"/>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044A6D"/>
    <w:rsid w:val="17E52B34"/>
    <w:rsid w:val="18130842"/>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C22F9"/>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31F0A"/>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2A373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A4A03CB"/>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531318"/>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706358A1"/>
    <w:rsid w:val="70964089"/>
    <w:rsid w:val="70E64A50"/>
    <w:rsid w:val="71231A63"/>
    <w:rsid w:val="714B6E37"/>
    <w:rsid w:val="71A629F0"/>
    <w:rsid w:val="71C72BEE"/>
    <w:rsid w:val="72AA2579"/>
    <w:rsid w:val="73164466"/>
    <w:rsid w:val="73614D85"/>
    <w:rsid w:val="7363682B"/>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414BDE"/>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11401</Words>
  <Characters>11646</Characters>
  <Lines>182</Lines>
  <Paragraphs>51</Paragraphs>
  <TotalTime>3</TotalTime>
  <ScaleCrop>false</ScaleCrop>
  <LinksUpToDate>false</LinksUpToDate>
  <CharactersWithSpaces>11854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2026-07-24T07:23:49Z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