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2026FW073</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信息中心精密空调移机服务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七月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5875"/>
      <w:bookmarkStart w:id="1" w:name="_Toc11641050"/>
      <w:bookmarkStart w:id="2" w:name="_Toc485108766"/>
      <w:bookmarkStart w:id="3" w:name="_Toc12789052"/>
      <w:bookmarkStart w:id="4" w:name="_Toc6921"/>
      <w:bookmarkStart w:id="5" w:name="_Toc23588"/>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信息中心精密空调移机服务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3893526"/>
      <w:bookmarkStart w:id="9" w:name="_Toc485108767"/>
      <w:bookmarkStart w:id="10" w:name="_Toc317775175"/>
      <w:bookmarkStart w:id="11" w:name="_Toc28443"/>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信息中心精密空调移机服务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：医院自筹,预算金额：70000元。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102227313"/>
      <w:bookmarkStart w:id="19" w:name="_Toc485108774"/>
    </w:p>
    <w:p w14:paraId="33C9D2E3">
      <w:pPr>
        <w:spacing w:line="48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1.参选供应商须具备制冷空调安装维修企业资质，施工人员须持证上岗，由经过专门培训的技术人员进行操作（提供相应的证明材料并加盖公章）</w:t>
      </w:r>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29</w:t>
      </w:r>
      <w:bookmarkStart w:id="195" w:name="_GoBack"/>
      <w:bookmarkEnd w:id="195"/>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1DED7290">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43FA0A78">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708A6313">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 xml:space="preserve">  </w:t>
      </w:r>
    </w:p>
    <w:p w14:paraId="7656E522">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地  址：重庆永川区重医附属永川医院兴龙湖院区采购办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0308FA1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p w14:paraId="478102F0">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（二）采购代理机构：重庆鸿兴招标代理有限公司</w:t>
      </w:r>
    </w:p>
    <w:p w14:paraId="5BD6BC3F">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联系人：周老师</w:t>
      </w:r>
    </w:p>
    <w:p w14:paraId="35879995">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电  话：19946997890</w:t>
      </w:r>
    </w:p>
    <w:p w14:paraId="31807FD2">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地  址：重庆市永川区内环南路777号一区12幢附41号</w:t>
      </w:r>
    </w:p>
    <w:p w14:paraId="115D10EF">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bookmarkStart w:id="37" w:name="OLE_LINK1"/>
      <w:bookmarkStart w:id="38" w:name="OLE_LINK2"/>
      <w:r>
        <w:rPr>
          <w:rFonts w:hint="default" w:ascii="宋体" w:hAnsi="宋体" w:eastAsia="宋体" w:cs="宋体"/>
          <w:color w:val="FF0000"/>
          <w:sz w:val="24"/>
          <w:szCs w:val="24"/>
          <w:shd w:val="clear" w:color="auto" w:fill="auto"/>
          <w:lang w:val="en-US" w:eastAsia="zh-CN"/>
        </w:rPr>
        <w:t>本项服务为包干服务</w:t>
      </w:r>
      <w:r>
        <w:rPr>
          <w:rFonts w:hint="eastAsia" w:ascii="宋体" w:hAnsi="宋体" w:eastAsia="宋体" w:cs="宋体"/>
          <w:color w:val="FF0000"/>
          <w:sz w:val="24"/>
          <w:szCs w:val="24"/>
          <w:shd w:val="clear" w:color="auto" w:fill="auto"/>
          <w:lang w:val="en-US" w:eastAsia="zh-CN"/>
        </w:rPr>
        <w:t>，参选供应商</w:t>
      </w:r>
      <w:r>
        <w:rPr>
          <w:rFonts w:hint="default" w:ascii="宋体" w:hAnsi="宋体" w:eastAsia="宋体" w:cs="宋体"/>
          <w:color w:val="FF0000"/>
          <w:sz w:val="24"/>
          <w:szCs w:val="24"/>
          <w:shd w:val="clear" w:color="auto" w:fill="auto"/>
          <w:lang w:val="en-US" w:eastAsia="zh-CN"/>
        </w:rPr>
        <w:t>的报价应包含</w:t>
      </w:r>
      <w:r>
        <w:rPr>
          <w:rFonts w:hint="eastAsia" w:ascii="宋体" w:hAnsi="宋体" w:eastAsia="宋体" w:cs="宋体"/>
          <w:color w:val="FF0000"/>
          <w:sz w:val="24"/>
          <w:szCs w:val="24"/>
          <w:shd w:val="clear" w:color="auto" w:fill="auto"/>
          <w:lang w:val="en-US" w:eastAsia="zh-CN"/>
        </w:rPr>
        <w:t>服务</w:t>
      </w:r>
      <w:r>
        <w:rPr>
          <w:rFonts w:hint="default" w:ascii="宋体" w:hAnsi="宋体" w:eastAsia="宋体" w:cs="宋体"/>
          <w:color w:val="FF0000"/>
          <w:sz w:val="24"/>
          <w:szCs w:val="24"/>
          <w:shd w:val="clear" w:color="auto" w:fill="auto"/>
          <w:lang w:val="en-US" w:eastAsia="zh-CN"/>
        </w:rPr>
        <w:t>过程中所涉及的全部费用，包括但不限于所有耗材、配件、辅材、人工、运输、吊装、工具设备使用、保险、税费等完成本项服务所需的一切费用</w:t>
      </w:r>
      <w:r>
        <w:rPr>
          <w:rFonts w:hint="eastAsia"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rPr>
        <w:t>须为人民币报价。因</w:t>
      </w:r>
      <w:r>
        <w:rPr>
          <w:rFonts w:hint="eastAsia" w:ascii="宋体" w:hAnsi="宋体" w:eastAsia="宋体" w:cs="宋体"/>
          <w:color w:val="FF0000"/>
          <w:sz w:val="24"/>
          <w:szCs w:val="24"/>
          <w:shd w:val="clear" w:color="auto" w:fill="auto"/>
          <w:lang w:val="en-US"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FF"/>
          <w:sz w:val="24"/>
          <w:szCs w:val="24"/>
          <w:shd w:val="clear" w:color="auto" w:fill="auto"/>
        </w:rPr>
        <w:t>响应文件一式</w:t>
      </w:r>
      <w:r>
        <w:rPr>
          <w:rFonts w:hint="eastAsia" w:ascii="宋体" w:hAnsi="宋体" w:eastAsia="宋体" w:cs="宋体"/>
          <w:color w:val="0000FF"/>
          <w:sz w:val="24"/>
          <w:szCs w:val="24"/>
          <w:shd w:val="clear" w:color="auto" w:fill="auto"/>
          <w:lang w:eastAsia="zh-CN"/>
        </w:rPr>
        <w:t>五</w:t>
      </w:r>
      <w:r>
        <w:rPr>
          <w:rFonts w:hint="eastAsia" w:ascii="宋体" w:hAnsi="宋体" w:eastAsia="宋体" w:cs="宋体"/>
          <w:color w:val="0000FF"/>
          <w:sz w:val="24"/>
          <w:szCs w:val="24"/>
          <w:shd w:val="clear" w:color="auto" w:fill="auto"/>
        </w:rPr>
        <w:t>份，其中正本一份，副本三份，电子文档一份（电子文档内容应与纸质文件正本一致，提供签字盖章完整的扫描件PDF格式，如不一致以纸质文件正本为准；推荐采用U盘为电子文档载体）（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9"/>
      <w:bookmarkStart w:id="40" w:name="OLE_LINK3"/>
      <w:bookmarkStart w:id="41"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342913393"/>
      <w:bookmarkStart w:id="43" w:name="_Toc19143"/>
      <w:bookmarkStart w:id="44" w:name="_Toc18122"/>
      <w:bookmarkStart w:id="45" w:name="_Toc102227319"/>
      <w:bookmarkStart w:id="46" w:name="_Toc179714298"/>
      <w:bookmarkStart w:id="47" w:name="_Toc403569780"/>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w:t>
      </w:r>
      <w:r>
        <w:rPr>
          <w:rFonts w:hint="eastAsia" w:ascii="宋体" w:hAnsi="宋体" w:eastAsia="宋体" w:cs="宋体"/>
          <w:color w:val="0000FF"/>
          <w:sz w:val="24"/>
          <w:szCs w:val="24"/>
          <w:shd w:val="clear" w:color="auto" w:fill="auto"/>
        </w:rPr>
        <w:t>截图模板见第</w:t>
      </w:r>
      <w:r>
        <w:rPr>
          <w:rFonts w:hint="eastAsia" w:ascii="宋体" w:hAnsi="宋体" w:eastAsia="宋体" w:cs="宋体"/>
          <w:color w:val="0000FF"/>
          <w:sz w:val="24"/>
          <w:szCs w:val="24"/>
          <w:shd w:val="clear" w:color="auto" w:fill="auto"/>
          <w:lang w:eastAsia="zh-CN"/>
        </w:rPr>
        <w:t>六</w:t>
      </w:r>
      <w:r>
        <w:rPr>
          <w:rFonts w:hint="eastAsia" w:ascii="宋体" w:hAnsi="宋体" w:eastAsia="宋体" w:cs="宋体"/>
          <w:color w:val="0000FF"/>
          <w:sz w:val="24"/>
          <w:szCs w:val="24"/>
          <w:shd w:val="clear" w:color="auto" w:fill="auto"/>
        </w:rPr>
        <w:t>篇后模板</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403569781"/>
      <w:bookmarkStart w:id="49" w:name="_Toc14247"/>
      <w:bookmarkStart w:id="50" w:name="_Toc28776"/>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403569782"/>
      <w:bookmarkStart w:id="55"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7135"/>
      <w:bookmarkStart w:id="60"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403569784"/>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403569785"/>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3E7C54C6">
      <w:pPr>
        <w:pStyle w:val="3"/>
        <w:spacing w:before="0" w:beforeAutospacing="0" w:after="0" w:line="240" w:lineRule="auto"/>
        <w:ind w:firstLine="482" w:firstLineChars="200"/>
        <w:jc w:val="left"/>
        <w:outlineLvl w:val="9"/>
        <w:rPr>
          <w:rFonts w:hint="eastAsia" w:ascii="宋体" w:hAnsi="宋体" w:eastAsia="宋体" w:cs="宋体"/>
          <w:color w:val="000000"/>
          <w:sz w:val="28"/>
          <w:szCs w:val="20"/>
          <w:highlight w:val="yellow"/>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w:t>
      </w:r>
      <w:bookmarkEnd w:id="64"/>
      <w:bookmarkEnd w:id="65"/>
      <w:bookmarkEnd w:id="66"/>
      <w:bookmarkEnd w:id="67"/>
      <w:bookmarkEnd w:id="68"/>
      <w:r>
        <w:rPr>
          <w:rFonts w:hint="eastAsia" w:ascii="宋体" w:hAnsi="宋体" w:eastAsia="宋体" w:cs="宋体"/>
          <w:color w:val="000000" w:themeColor="text1"/>
          <w:sz w:val="24"/>
          <w:szCs w:val="24"/>
          <w:shd w:val="clear" w:color="auto" w:fill="auto"/>
          <w14:textFill>
            <w14:solidFill>
              <w14:schemeClr w14:val="tx1"/>
            </w14:solidFill>
          </w14:textFill>
        </w:rPr>
        <w:t xml:space="preserve">代理服务费 </w:t>
      </w:r>
    </w:p>
    <w:p w14:paraId="6FC5F537">
      <w:pPr>
        <w:snapToGrid w:val="0"/>
        <w:spacing w:line="400" w:lineRule="exact"/>
        <w:ind w:firstLine="480" w:firstLineChars="200"/>
        <w:jc w:val="left"/>
        <w:rPr>
          <w:rFonts w:hint="eastAsia" w:ascii="宋体" w:hAnsi="宋体" w:eastAsia="宋体" w:cs="宋体"/>
          <w:color w:val="0000FF"/>
          <w:sz w:val="24"/>
          <w:szCs w:val="24"/>
          <w:shd w:val="clear" w:color="auto" w:fill="auto"/>
        </w:rPr>
      </w:pPr>
      <w:r>
        <w:rPr>
          <w:rFonts w:hint="eastAsia" w:ascii="宋体" w:hAnsi="宋体" w:eastAsia="宋体" w:cs="宋体"/>
          <w:color w:val="0000FF"/>
          <w:sz w:val="24"/>
          <w:szCs w:val="24"/>
          <w:shd w:val="clear" w:color="auto" w:fill="auto"/>
          <w:lang w:eastAsia="zh-CN"/>
        </w:rPr>
        <w:t>供应商对医</w:t>
      </w:r>
      <w:r>
        <w:rPr>
          <w:rFonts w:hint="eastAsia" w:ascii="宋体" w:hAnsi="宋体" w:eastAsia="宋体" w:cs="宋体"/>
          <w:color w:val="0000FF"/>
          <w:sz w:val="24"/>
          <w:szCs w:val="24"/>
          <w:shd w:val="clear" w:color="auto" w:fill="auto"/>
          <w:lang w:val="en-US" w:eastAsia="zh-CN"/>
        </w:rPr>
        <w:t>代理服务费</w:t>
      </w:r>
      <w:r>
        <w:rPr>
          <w:rFonts w:hint="eastAsia" w:ascii="宋体" w:hAnsi="宋体" w:eastAsia="宋体" w:cs="宋体"/>
          <w:color w:val="0000FF"/>
          <w:sz w:val="24"/>
          <w:szCs w:val="24"/>
          <w:shd w:val="clear" w:color="auto" w:fill="auto"/>
        </w:rPr>
        <w:t>按照</w:t>
      </w:r>
      <w:r>
        <w:rPr>
          <w:rFonts w:hint="eastAsia" w:ascii="宋体" w:hAnsi="宋体" w:eastAsia="宋体" w:cs="宋体"/>
          <w:color w:val="0000FF"/>
          <w:sz w:val="24"/>
          <w:szCs w:val="24"/>
          <w:shd w:val="clear" w:color="auto" w:fill="auto"/>
          <w:lang w:val="en-US" w:eastAsia="zh-CN"/>
        </w:rPr>
        <w:t>以下</w:t>
      </w:r>
      <w:r>
        <w:rPr>
          <w:rFonts w:hint="eastAsia" w:ascii="宋体" w:hAnsi="宋体" w:eastAsia="宋体" w:cs="宋体"/>
          <w:color w:val="0000FF"/>
          <w:sz w:val="24"/>
          <w:szCs w:val="24"/>
          <w:shd w:val="clear" w:color="auto" w:fill="auto"/>
        </w:rPr>
        <w:t>对应</w:t>
      </w:r>
      <w:r>
        <w:rPr>
          <w:rFonts w:hint="eastAsia" w:ascii="宋体" w:hAnsi="宋体" w:eastAsia="宋体" w:cs="宋体"/>
          <w:color w:val="0000FF"/>
          <w:sz w:val="24"/>
          <w:szCs w:val="24"/>
          <w:shd w:val="clear" w:color="auto" w:fill="auto"/>
          <w:lang w:eastAsia="zh-CN"/>
        </w:rPr>
        <w:t>收取</w:t>
      </w:r>
      <w:r>
        <w:rPr>
          <w:rFonts w:hint="eastAsia" w:ascii="宋体" w:hAnsi="宋体" w:eastAsia="宋体" w:cs="宋体"/>
          <w:color w:val="0000FF"/>
          <w:sz w:val="24"/>
          <w:szCs w:val="24"/>
          <w:shd w:val="clear" w:color="auto" w:fill="auto"/>
        </w:rPr>
        <w:t>标准下浮</w:t>
      </w:r>
      <w:r>
        <w:rPr>
          <w:rFonts w:hint="eastAsia" w:ascii="宋体" w:hAnsi="宋体" w:eastAsia="宋体" w:cs="宋体"/>
          <w:color w:val="0000FF"/>
          <w:sz w:val="24"/>
          <w:szCs w:val="24"/>
          <w:shd w:val="clear" w:color="auto" w:fill="auto"/>
          <w:lang w:val="en-US" w:eastAsia="zh-CN"/>
        </w:rPr>
        <w:t>40</w:t>
      </w:r>
      <w:r>
        <w:rPr>
          <w:rFonts w:hint="eastAsia" w:ascii="宋体" w:hAnsi="宋体" w:eastAsia="宋体" w:cs="宋体"/>
          <w:color w:val="0000FF"/>
          <w:sz w:val="24"/>
          <w:szCs w:val="24"/>
          <w:shd w:val="clear" w:color="auto" w:fill="auto"/>
        </w:rPr>
        <w:t>%</w:t>
      </w:r>
      <w:r>
        <w:rPr>
          <w:rFonts w:hint="eastAsia" w:ascii="宋体" w:hAnsi="宋体" w:eastAsia="宋体" w:cs="宋体"/>
          <w:color w:val="0000FF"/>
          <w:sz w:val="24"/>
          <w:szCs w:val="24"/>
          <w:shd w:val="clear" w:color="auto" w:fill="auto"/>
          <w:lang w:val="en-US" w:eastAsia="zh-CN"/>
        </w:rPr>
        <w:t xml:space="preserve"> </w:t>
      </w:r>
      <w:r>
        <w:rPr>
          <w:rFonts w:hint="eastAsia" w:ascii="宋体" w:hAnsi="宋体" w:eastAsia="宋体" w:cs="宋体"/>
          <w:color w:val="0000FF"/>
          <w:sz w:val="24"/>
          <w:szCs w:val="24"/>
          <w:shd w:val="clear" w:color="auto" w:fill="auto"/>
        </w:rPr>
        <w:t>执行</w:t>
      </w:r>
      <w:r>
        <w:rPr>
          <w:rFonts w:hint="eastAsia" w:ascii="宋体" w:hAnsi="宋体" w:eastAsia="宋体" w:cs="宋体"/>
          <w:color w:val="0000FF"/>
          <w:sz w:val="24"/>
          <w:szCs w:val="24"/>
          <w:shd w:val="clear" w:color="auto" w:fill="auto"/>
          <w:lang w:val="en-US" w:eastAsia="zh-CN"/>
        </w:rPr>
        <w:t>，以中标（成交）价为计费基数，采用差额定率累进法并结合代理服务费下浮率进行计算，</w:t>
      </w:r>
      <w:r>
        <w:rPr>
          <w:rFonts w:hint="eastAsia" w:ascii="宋体" w:hAnsi="宋体" w:eastAsia="宋体" w:cs="宋体"/>
          <w:color w:val="0000FF"/>
          <w:sz w:val="24"/>
          <w:szCs w:val="24"/>
          <w:shd w:val="clear" w:color="auto" w:fill="auto"/>
        </w:rPr>
        <w:t>由中标人（成交供应商）领取中标（成交）通知书时一次性支付给</w:t>
      </w:r>
      <w:r>
        <w:rPr>
          <w:rFonts w:hint="eastAsia" w:ascii="宋体" w:hAnsi="宋体" w:eastAsia="宋体" w:cs="宋体"/>
          <w:color w:val="0000FF"/>
          <w:sz w:val="24"/>
          <w:szCs w:val="24"/>
          <w:shd w:val="clear" w:color="auto" w:fill="auto"/>
          <w:lang w:val="en-US" w:eastAsia="zh-CN"/>
        </w:rPr>
        <w:t>招标代理公司</w:t>
      </w:r>
      <w:r>
        <w:rPr>
          <w:rFonts w:hint="eastAsia" w:ascii="宋体" w:hAnsi="宋体" w:eastAsia="宋体" w:cs="宋体"/>
          <w:color w:val="0000FF"/>
          <w:sz w:val="24"/>
          <w:szCs w:val="24"/>
          <w:shd w:val="clear" w:color="auto" w:fill="auto"/>
        </w:rPr>
        <w:t>。</w:t>
      </w:r>
    </w:p>
    <w:p w14:paraId="65ACAE5C">
      <w:pPr>
        <w:snapToGrid w:val="0"/>
        <w:spacing w:line="400" w:lineRule="exact"/>
        <w:ind w:firstLine="482" w:firstLineChars="200"/>
        <w:jc w:val="center"/>
        <w:rPr>
          <w:rFonts w:hint="default" w:ascii="方正仿宋_GBK" w:hAnsi="方正仿宋_GBK" w:eastAsia="方正仿宋_GBK" w:cs="方正仿宋_GBK"/>
          <w:b/>
          <w:bCs/>
          <w:color w:val="0000FF"/>
          <w:sz w:val="24"/>
          <w:szCs w:val="24"/>
          <w:highlight w:val="none"/>
        </w:rPr>
      </w:pPr>
      <w:r>
        <w:rPr>
          <w:rFonts w:hint="default" w:ascii="方正仿宋_GBK" w:hAnsi="方正仿宋_GBK" w:eastAsia="方正仿宋_GBK" w:cs="方正仿宋_GBK"/>
          <w:b/>
          <w:bCs/>
          <w:color w:val="0000FF"/>
          <w:sz w:val="24"/>
          <w:szCs w:val="24"/>
          <w:highlight w:val="none"/>
        </w:rPr>
        <w:t>采购代理服务</w:t>
      </w:r>
      <w:r>
        <w:rPr>
          <w:rFonts w:hint="eastAsia" w:ascii="方正仿宋_GBK" w:hAnsi="方正仿宋_GBK" w:eastAsia="方正仿宋_GBK" w:cs="方正仿宋_GBK"/>
          <w:b/>
          <w:bCs/>
          <w:color w:val="0000FF"/>
          <w:sz w:val="24"/>
          <w:szCs w:val="24"/>
          <w:highlight w:val="none"/>
        </w:rPr>
        <w:t>收取标准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2310"/>
        <w:gridCol w:w="2430"/>
        <w:gridCol w:w="2307"/>
      </w:tblGrid>
      <w:tr w14:paraId="1E7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2150" w:type="dxa"/>
            <w:noWrap w:val="0"/>
            <w:vAlign w:val="top"/>
          </w:tcPr>
          <w:p w14:paraId="291762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60288" behindDoc="0" locked="0" layoutInCell="1" allowOverlap="1">
                      <wp:simplePos x="0" y="0"/>
                      <wp:positionH relativeFrom="column">
                        <wp:posOffset>434975</wp:posOffset>
                      </wp:positionH>
                      <wp:positionV relativeFrom="paragraph">
                        <wp:posOffset>-1905</wp:posOffset>
                      </wp:positionV>
                      <wp:extent cx="969645" cy="1238250"/>
                      <wp:effectExtent l="3810" t="3175" r="17145" b="15875"/>
                      <wp:wrapNone/>
                      <wp:docPr id="8" name="直接箭头连接符 8"/>
                      <wp:cNvGraphicFramePr/>
                      <a:graphic xmlns:a="http://schemas.openxmlformats.org/drawingml/2006/main">
                        <a:graphicData uri="http://schemas.microsoft.com/office/word/2010/wordprocessingShape">
                          <wps:wsp>
                            <wps:cNvCnPr/>
                            <wps:spPr>
                              <a:xfrm>
                                <a:off x="0" y="0"/>
                                <a:ext cx="969645" cy="123825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34.25pt;margin-top:-0.15pt;height:97.5pt;width:76.35pt;z-index:251660288;mso-width-relative:page;mso-height-relative:page;" filled="f" stroked="t" coordsize="21600,21600" o:gfxdata="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vrZw1wAAAAgBAAAPAAAAAAAAAAEAIAAAACIAAABk&#10;cnMvZG93bnJldi54bWxQSwECFAAUAAAACACHTuJAgudxywcCAAD7AwAADgAAAAAAAAABACAAAAAm&#10;AQAAZHJzL2Uyb0RvYy54bWxQSwUGAAAAAAYABgBZAQAAnwUAAAAA&#10;">
                      <v:fill on="f" focussize="0,0"/>
                      <v:stroke color="#000000" joinstyle="round"/>
                      <v:imagedata o:title=""/>
                      <o:lock v:ext="edit" aspectratio="f"/>
                    </v:shape>
                  </w:pict>
                </mc:Fallback>
              </mc:AlternateContent>
            </w:r>
            <w:r>
              <w:rPr>
                <w:rFonts w:hint="eastAsia" w:ascii="方正仿宋_GBK" w:hAnsi="方正仿宋_GBK" w:eastAsia="方正仿宋_GBK" w:cs="方正仿宋_GBK"/>
                <w:color w:val="0000FF"/>
                <w:sz w:val="24"/>
                <w:szCs w:val="24"/>
                <w:highlight w:val="none"/>
                <w:lang w:val="en-US" w:eastAsia="zh-CN"/>
              </w:rPr>
              <w:t xml:space="preserve">     服务类型</w:t>
            </w:r>
          </w:p>
          <w:p w14:paraId="35B9EDB0">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308610</wp:posOffset>
                      </wp:positionV>
                      <wp:extent cx="1481455" cy="719455"/>
                      <wp:effectExtent l="1905" t="4445" r="2540" b="19050"/>
                      <wp:wrapNone/>
                      <wp:docPr id="9" name="直接箭头连接符 9"/>
                      <wp:cNvGraphicFramePr/>
                      <a:graphic xmlns:a="http://schemas.openxmlformats.org/drawingml/2006/main">
                        <a:graphicData uri="http://schemas.microsoft.com/office/word/2010/wordprocessingShape">
                          <wps:wsp>
                            <wps:cNvCnPr/>
                            <wps:spPr>
                              <a:xfrm>
                                <a:off x="0" y="0"/>
                                <a:ext cx="1481455" cy="7194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85pt;margin-top:24.3pt;height:56.65pt;width:116.65pt;z-index:251659264;mso-width-relative:page;mso-height-relative:page;" filled="f" stroked="t" coordsize="21600,21600" o:gfxdata="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oIB+2AAAAAkBAAAPAAAAAAAAAAEAIAAAACIAAABkcnMv&#10;ZG93bnJldi54bWxQSwECFAAUAAAACACHTuJAPOgN8AMCAAD7AwAADgAAAAAAAAABACAAAAAnAQAA&#10;ZHJzL2Uyb0RvYy54bWxQSwUGAAAAAAYABgBZAQAAnAUAAAAA&#10;">
                      <v:fill on="f" focussize="0,0"/>
                      <v:stroke color="#000000" joinstyle="round"/>
                      <v:imagedata o:title=""/>
                      <o:lock v:ext="edit" aspectratio="f"/>
                    </v:shape>
                  </w:pict>
                </mc:Fallback>
              </mc:AlternateContent>
            </w:r>
          </w:p>
          <w:p w14:paraId="748ACFF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费率</w:t>
            </w:r>
          </w:p>
          <w:p w14:paraId="006417D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p>
          <w:p w14:paraId="26A6756B">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bookmarkStart w:id="69" w:name="_Toc29912"/>
            <w:bookmarkStart w:id="70" w:name="_Toc795"/>
            <w:bookmarkStart w:id="71" w:name="_Toc3648"/>
            <w:bookmarkStart w:id="72" w:name="_Toc19572"/>
            <w:r>
              <w:rPr>
                <w:rFonts w:hint="eastAsia" w:ascii="方正仿宋_GBK" w:hAnsi="方正仿宋_GBK" w:eastAsia="方正仿宋_GBK" w:cs="方正仿宋_GBK"/>
                <w:color w:val="0000FF"/>
                <w:sz w:val="24"/>
                <w:szCs w:val="24"/>
                <w:highlight w:val="none"/>
                <w:lang w:val="en-US" w:eastAsia="zh-CN"/>
              </w:rPr>
              <w:t>计费基数（万元）</w:t>
            </w:r>
            <w:bookmarkEnd w:id="69"/>
            <w:bookmarkEnd w:id="70"/>
            <w:bookmarkEnd w:id="71"/>
            <w:bookmarkEnd w:id="72"/>
          </w:p>
        </w:tc>
        <w:tc>
          <w:tcPr>
            <w:tcW w:w="2310" w:type="dxa"/>
            <w:noWrap w:val="0"/>
            <w:vAlign w:val="center"/>
          </w:tcPr>
          <w:p w14:paraId="3EB04D0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货物招标</w:t>
            </w:r>
          </w:p>
        </w:tc>
        <w:tc>
          <w:tcPr>
            <w:tcW w:w="2430" w:type="dxa"/>
            <w:noWrap w:val="0"/>
            <w:vAlign w:val="center"/>
          </w:tcPr>
          <w:p w14:paraId="0668C77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服务</w:t>
            </w:r>
            <w:r>
              <w:rPr>
                <w:rFonts w:hint="eastAsia" w:ascii="方正仿宋_GBK" w:hAnsi="方正仿宋_GBK" w:eastAsia="方正仿宋_GBK" w:cs="方正仿宋_GBK"/>
                <w:color w:val="0000FF"/>
                <w:sz w:val="24"/>
                <w:szCs w:val="24"/>
                <w:highlight w:val="none"/>
                <w:lang w:val="en-US" w:eastAsia="zh-CN"/>
              </w:rPr>
              <w:t>招标</w:t>
            </w:r>
          </w:p>
        </w:tc>
        <w:tc>
          <w:tcPr>
            <w:tcW w:w="2307" w:type="dxa"/>
            <w:noWrap w:val="0"/>
            <w:vAlign w:val="center"/>
          </w:tcPr>
          <w:p w14:paraId="6CFD4D8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工程</w:t>
            </w:r>
            <w:r>
              <w:rPr>
                <w:rFonts w:hint="eastAsia" w:ascii="方正仿宋_GBK" w:hAnsi="方正仿宋_GBK" w:eastAsia="方正仿宋_GBK" w:cs="方正仿宋_GBK"/>
                <w:color w:val="0000FF"/>
                <w:sz w:val="24"/>
                <w:szCs w:val="24"/>
                <w:highlight w:val="none"/>
                <w:lang w:val="en-US" w:eastAsia="zh-CN"/>
              </w:rPr>
              <w:t>招标</w:t>
            </w:r>
          </w:p>
        </w:tc>
      </w:tr>
      <w:tr w14:paraId="495C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0" w:type="dxa"/>
            <w:noWrap w:val="0"/>
            <w:vAlign w:val="center"/>
          </w:tcPr>
          <w:p w14:paraId="641271A0">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100以下</w:t>
            </w:r>
          </w:p>
        </w:tc>
        <w:tc>
          <w:tcPr>
            <w:tcW w:w="2310" w:type="dxa"/>
            <w:noWrap w:val="0"/>
            <w:vAlign w:val="center"/>
          </w:tcPr>
          <w:p w14:paraId="5D4CFD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430" w:type="dxa"/>
            <w:noWrap w:val="0"/>
            <w:vAlign w:val="center"/>
          </w:tcPr>
          <w:p w14:paraId="375DD1A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307" w:type="dxa"/>
            <w:noWrap w:val="0"/>
            <w:vAlign w:val="center"/>
          </w:tcPr>
          <w:p w14:paraId="6A486DD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w:t>
            </w:r>
          </w:p>
        </w:tc>
      </w:tr>
      <w:tr w14:paraId="7FF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150" w:type="dxa"/>
            <w:noWrap w:val="0"/>
            <w:vAlign w:val="center"/>
          </w:tcPr>
          <w:p w14:paraId="3C171973">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100-500</w:t>
            </w:r>
          </w:p>
        </w:tc>
        <w:tc>
          <w:tcPr>
            <w:tcW w:w="2310" w:type="dxa"/>
            <w:noWrap w:val="0"/>
            <w:vAlign w:val="center"/>
          </w:tcPr>
          <w:p w14:paraId="4F11433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1.1%</w:t>
            </w:r>
          </w:p>
        </w:tc>
        <w:tc>
          <w:tcPr>
            <w:tcW w:w="2430" w:type="dxa"/>
            <w:noWrap w:val="0"/>
            <w:vAlign w:val="center"/>
          </w:tcPr>
          <w:p w14:paraId="2A3A9F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307" w:type="dxa"/>
            <w:noWrap w:val="0"/>
            <w:vAlign w:val="center"/>
          </w:tcPr>
          <w:p w14:paraId="69806F6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0.7%</w:t>
            </w:r>
          </w:p>
        </w:tc>
      </w:tr>
      <w:tr w14:paraId="24B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50" w:type="dxa"/>
            <w:noWrap w:val="0"/>
            <w:vAlign w:val="center"/>
          </w:tcPr>
          <w:p w14:paraId="77CAE21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500-1000</w:t>
            </w:r>
          </w:p>
        </w:tc>
        <w:tc>
          <w:tcPr>
            <w:tcW w:w="2310" w:type="dxa"/>
            <w:noWrap w:val="0"/>
            <w:vAlign w:val="center"/>
          </w:tcPr>
          <w:p w14:paraId="546E526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430" w:type="dxa"/>
            <w:noWrap w:val="0"/>
            <w:vAlign w:val="center"/>
          </w:tcPr>
          <w:p w14:paraId="1E9CF13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0.45%</w:t>
            </w:r>
          </w:p>
        </w:tc>
        <w:tc>
          <w:tcPr>
            <w:tcW w:w="2307" w:type="dxa"/>
            <w:noWrap w:val="0"/>
            <w:vAlign w:val="center"/>
          </w:tcPr>
          <w:p w14:paraId="2DA6C92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0.55%</w:t>
            </w:r>
          </w:p>
        </w:tc>
      </w:tr>
      <w:tr w14:paraId="16D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50" w:type="dxa"/>
            <w:noWrap w:val="0"/>
            <w:vAlign w:val="center"/>
          </w:tcPr>
          <w:p w14:paraId="70F5EDC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1000-5000</w:t>
            </w:r>
          </w:p>
        </w:tc>
        <w:tc>
          <w:tcPr>
            <w:tcW w:w="2310" w:type="dxa"/>
            <w:noWrap w:val="0"/>
            <w:vAlign w:val="center"/>
          </w:tcPr>
          <w:p w14:paraId="1050D4F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w:t>
            </w:r>
          </w:p>
        </w:tc>
        <w:tc>
          <w:tcPr>
            <w:tcW w:w="2430" w:type="dxa"/>
            <w:noWrap w:val="0"/>
            <w:vAlign w:val="center"/>
          </w:tcPr>
          <w:p w14:paraId="0E38C9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307" w:type="dxa"/>
            <w:noWrap w:val="0"/>
            <w:vAlign w:val="center"/>
          </w:tcPr>
          <w:p w14:paraId="2459A6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0.35%</w:t>
            </w:r>
          </w:p>
        </w:tc>
      </w:tr>
      <w:tr w14:paraId="7E0C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50" w:type="dxa"/>
            <w:noWrap w:val="0"/>
            <w:vAlign w:val="center"/>
          </w:tcPr>
          <w:p w14:paraId="39424E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5000-10000</w:t>
            </w:r>
          </w:p>
        </w:tc>
        <w:tc>
          <w:tcPr>
            <w:tcW w:w="2310" w:type="dxa"/>
            <w:noWrap w:val="0"/>
            <w:vAlign w:val="center"/>
          </w:tcPr>
          <w:p w14:paraId="2050437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430" w:type="dxa"/>
            <w:noWrap w:val="0"/>
            <w:vAlign w:val="center"/>
          </w:tcPr>
          <w:p w14:paraId="0BD268A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0.1%</w:t>
            </w:r>
          </w:p>
        </w:tc>
        <w:tc>
          <w:tcPr>
            <w:tcW w:w="2307" w:type="dxa"/>
            <w:noWrap w:val="0"/>
            <w:vAlign w:val="center"/>
          </w:tcPr>
          <w:p w14:paraId="65D74C0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w:t>
            </w:r>
          </w:p>
        </w:tc>
      </w:tr>
      <w:tr w14:paraId="408E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50" w:type="dxa"/>
            <w:noWrap w:val="0"/>
            <w:vAlign w:val="center"/>
          </w:tcPr>
          <w:p w14:paraId="7CD337C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10000-50000</w:t>
            </w:r>
          </w:p>
        </w:tc>
        <w:tc>
          <w:tcPr>
            <w:tcW w:w="2310" w:type="dxa"/>
            <w:noWrap w:val="0"/>
            <w:vAlign w:val="center"/>
          </w:tcPr>
          <w:p w14:paraId="4918D8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430" w:type="dxa"/>
            <w:noWrap w:val="0"/>
            <w:vAlign w:val="center"/>
          </w:tcPr>
          <w:p w14:paraId="4724DB9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307" w:type="dxa"/>
            <w:noWrap w:val="0"/>
            <w:vAlign w:val="center"/>
          </w:tcPr>
          <w:p w14:paraId="09066C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r>
      <w:tr w14:paraId="737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50" w:type="dxa"/>
            <w:noWrap w:val="0"/>
            <w:vAlign w:val="center"/>
          </w:tcPr>
          <w:p w14:paraId="3EAD8E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50000-100000</w:t>
            </w:r>
          </w:p>
        </w:tc>
        <w:tc>
          <w:tcPr>
            <w:tcW w:w="2310" w:type="dxa"/>
            <w:noWrap w:val="0"/>
            <w:vAlign w:val="center"/>
          </w:tcPr>
          <w:p w14:paraId="0C094B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430" w:type="dxa"/>
            <w:noWrap w:val="0"/>
            <w:vAlign w:val="center"/>
          </w:tcPr>
          <w:p w14:paraId="22AFB2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307" w:type="dxa"/>
            <w:noWrap w:val="0"/>
            <w:vAlign w:val="center"/>
          </w:tcPr>
          <w:p w14:paraId="3228D71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r>
      <w:tr w14:paraId="3730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50" w:type="dxa"/>
            <w:noWrap w:val="0"/>
            <w:vAlign w:val="center"/>
          </w:tcPr>
          <w:p w14:paraId="70C1B62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100000-500000</w:t>
            </w:r>
          </w:p>
        </w:tc>
        <w:tc>
          <w:tcPr>
            <w:tcW w:w="2310" w:type="dxa"/>
            <w:noWrap w:val="0"/>
            <w:vAlign w:val="center"/>
          </w:tcPr>
          <w:p w14:paraId="1ED9496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430" w:type="dxa"/>
            <w:noWrap w:val="0"/>
            <w:vAlign w:val="center"/>
          </w:tcPr>
          <w:p w14:paraId="7B6D00E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307" w:type="dxa"/>
            <w:noWrap w:val="0"/>
            <w:vAlign w:val="center"/>
          </w:tcPr>
          <w:p w14:paraId="449CB4B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r>
      <w:tr w14:paraId="1AE1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150" w:type="dxa"/>
            <w:noWrap w:val="0"/>
            <w:vAlign w:val="center"/>
          </w:tcPr>
          <w:p w14:paraId="1B64AF5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500000-1000000</w:t>
            </w:r>
          </w:p>
        </w:tc>
        <w:tc>
          <w:tcPr>
            <w:tcW w:w="2310" w:type="dxa"/>
            <w:noWrap w:val="0"/>
            <w:vAlign w:val="center"/>
          </w:tcPr>
          <w:p w14:paraId="53FC50C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430" w:type="dxa"/>
            <w:noWrap w:val="0"/>
            <w:vAlign w:val="center"/>
          </w:tcPr>
          <w:p w14:paraId="188806E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307" w:type="dxa"/>
            <w:noWrap w:val="0"/>
            <w:vAlign w:val="center"/>
          </w:tcPr>
          <w:p w14:paraId="799A708D">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r>
      <w:tr w14:paraId="3A19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50" w:type="dxa"/>
            <w:noWrap w:val="0"/>
            <w:vAlign w:val="center"/>
          </w:tcPr>
          <w:p w14:paraId="4C8FF6C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1000000以上</w:t>
            </w:r>
          </w:p>
        </w:tc>
        <w:tc>
          <w:tcPr>
            <w:tcW w:w="2310" w:type="dxa"/>
            <w:noWrap w:val="0"/>
            <w:vAlign w:val="center"/>
          </w:tcPr>
          <w:p w14:paraId="7D6CD1D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430" w:type="dxa"/>
            <w:noWrap w:val="0"/>
            <w:vAlign w:val="center"/>
          </w:tcPr>
          <w:p w14:paraId="409BC84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307" w:type="dxa"/>
            <w:noWrap w:val="0"/>
            <w:vAlign w:val="center"/>
          </w:tcPr>
          <w:p w14:paraId="6B99159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r>
    </w:tbl>
    <w:p w14:paraId="6025E0B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签订合同</w:t>
      </w:r>
    </w:p>
    <w:p w14:paraId="0620567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42C58A7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1A964FC1">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703F7ED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57E913D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86DFEC">
      <w:pP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3" w:name="_Toc11770"/>
      <w:bookmarkStart w:id="74" w:name="_Toc26684"/>
      <w:bookmarkStart w:id="75" w:name="_Toc7206"/>
      <w:bookmarkStart w:id="76" w:name="_Toc485108784"/>
      <w:r>
        <w:rPr>
          <w:rFonts w:hint="eastAsia" w:ascii="宋体" w:hAnsi="宋体" w:eastAsia="宋体" w:cs="宋体"/>
          <w:b/>
          <w:color w:val="000000" w:themeColor="text1"/>
          <w:sz w:val="36"/>
          <w:szCs w:val="36"/>
          <w:shd w:val="clear" w:color="auto" w:fill="auto"/>
          <w14:textFill>
            <w14:solidFill>
              <w14:schemeClr w14:val="tx1"/>
            </w14:solidFill>
          </w14:textFill>
        </w:rPr>
        <w:br w:type="page"/>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73"/>
      <w:bookmarkEnd w:id="74"/>
      <w:bookmarkEnd w:id="75"/>
      <w:bookmarkEnd w:id="76"/>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7" w:name="_Toc485108787"/>
      <w:bookmarkStart w:id="78" w:name="_Toc12789058"/>
      <w:bookmarkStart w:id="79"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配件</w:t>
      </w:r>
      <w:r>
        <w:rPr>
          <w:rFonts w:hint="eastAsia" w:ascii="宋体" w:hAnsi="宋体" w:eastAsia="宋体" w:cs="宋体"/>
          <w:color w:val="000000" w:themeColor="text1"/>
          <w:sz w:val="24"/>
          <w:szCs w:val="24"/>
          <w:shd w:val="clear" w:color="auto" w:fill="auto"/>
          <w14:textFill>
            <w14:solidFill>
              <w14:schemeClr w14:val="tx1"/>
            </w14:solidFill>
          </w14:textFill>
        </w:rPr>
        <w:t>要求</w:t>
      </w:r>
    </w:p>
    <w:p w14:paraId="27F7735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bookmarkStart w:id="80" w:name="_Toc4364"/>
      <w:bookmarkStart w:id="81" w:name="_Toc17014"/>
      <w:r>
        <w:rPr>
          <w:rFonts w:hint="eastAsia" w:ascii="宋体" w:hAnsi="宋体" w:eastAsia="宋体" w:cs="宋体"/>
          <w:color w:val="FF0000"/>
          <w:sz w:val="24"/>
          <w:szCs w:val="24"/>
          <w:shd w:val="clear" w:color="auto" w:fill="auto"/>
          <w:lang w:val="en-US" w:eastAsia="zh-CN"/>
        </w:rPr>
        <w:t>1.本项服务内容为：将重庆医科大学附属永川医院兴龙湖院区全科楼21楼的2台精密空调迁移至萱花院区综合楼4楼信息中心机房，并完成安装调试。同时，拆除萱花院区信息中心机房内原有1台旧精密空调及1台旧柜式空调，拆除后的设备须搬运至采购人指定地点。</w:t>
      </w:r>
    </w:p>
    <w:p w14:paraId="409B685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2.安全责任：移机过程中所有的安全问题由成交供应商承担。施工前需对现场进行勘查，制定详细的施工方案和安全预案。</w:t>
      </w:r>
    </w:p>
    <w:p w14:paraId="6D310D9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3.时间要求：移机工作应在不影响采购人正常业务的前提下进行，需在采购人指定的时间段进行移机、保压测试及调试工作，保障机房空调及时恢复正常运行。</w:t>
      </w:r>
    </w:p>
    <w:p w14:paraId="174F646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4.保护要求：施工过程中应对机房内现有设备、设施进行有效保护，避免造成损坏；施工完成后需对现场进行清理恢复。</w:t>
      </w:r>
    </w:p>
    <w:p w14:paraId="17B0B82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w:t>
      </w:r>
      <w:r>
        <w:rPr>
          <w:rFonts w:hint="default" w:ascii="宋体" w:hAnsi="宋体" w:eastAsia="宋体" w:cs="宋体"/>
          <w:color w:val="FF0000"/>
          <w:sz w:val="24"/>
          <w:szCs w:val="24"/>
          <w:shd w:val="clear" w:color="auto" w:fill="auto"/>
          <w:lang w:val="en-US" w:eastAsia="zh-CN"/>
        </w:rPr>
        <w:t>本项服务应严格执行国家标准及行业规范</w:t>
      </w:r>
      <w:r>
        <w:rPr>
          <w:rFonts w:hint="eastAsia" w:ascii="宋体" w:hAnsi="宋体" w:eastAsia="宋体" w:cs="宋体"/>
          <w:color w:val="FF0000"/>
          <w:sz w:val="24"/>
          <w:szCs w:val="24"/>
          <w:shd w:val="clear" w:color="auto" w:fill="auto"/>
          <w:lang w:val="en-US" w:eastAsia="zh-CN"/>
        </w:rPr>
        <w:t>。</w:t>
      </w:r>
    </w:p>
    <w:p w14:paraId="7D66665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6.材料及配件要求：</w:t>
      </w:r>
    </w:p>
    <w:p w14:paraId="09ACE9A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（1）本项服务所有配件必须是全新的，各种参数应是现有室内机的配套产品（同规格、同型号），保证配件外观质量无损伤。</w:t>
      </w:r>
    </w:p>
    <w:p w14:paraId="6B81CA6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参选供应商须自行前往项目现场进行勘察，全面评估移机环境及施工条件。参选供应商应根据现场实际情况，自行计算和配备完成移机服务所需的全部材料及辅件，确保空调移机后正常稳定运行。因参选供应商勘察不充分、不全面或预估不足所导致的任何缺项、漏项，均由参选供应商自行补齐，所产生的费用已全部包含在包干总价中，采购人不再另行支付。</w:t>
      </w:r>
    </w:p>
    <w:p w14:paraId="29EDDE65">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7.施工服务要求：</w:t>
      </w:r>
    </w:p>
    <w:p w14:paraId="502C9C0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拆机与运输：移机前须在制冷模式下开机运行，确认设备状态正常后，关闭室外机阀门进行冷媒回收。拆机过程中须对室内外机的接线端子、铜管接口、排水管位置逐一拍照并做好标记，所有铜管口用专用堵帽封堵，电线端子做好绝缘防护。运输过程中室内机须保持直立，外覆防护材料；室外机平放于托盘上并垫缓冲材料，铜管弯折处加装护套。</w:t>
      </w:r>
    </w:p>
    <w:p w14:paraId="3E19C97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安装与调试阶段：设备就位后，铜管须采用充氮焊接工艺，防止内壁结炭，焊接完成后对系统进行压力测试。抽真空时间不少于150分钟，真空度须稳定维持在20Pa以下，并按铭牌标注量精确充注冷媒。通电调试前须确认铜管接口扭矩及保温层完好、电气接线与原始标记一致；开机后检测压缩机运行电流是否在安全范围内，并对所有焊点和阀门进行泄漏检测，确认无气泡逸出。</w:t>
      </w:r>
    </w:p>
    <w:p w14:paraId="2112E38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机房环境保障：施工前应提前做好规划和应急预案。施工期间，须确保萱花院区信息机房精密空调不得长时间中断运行，机房温度须始终维持在设备安全运行范围内，现有温湿度环境不得因移机施工而受到影响。若因施工不当导致机房环境异常，进而造成机房设备损坏、数据丢失等一切损失，由成交供应商承担全部责任及相应赔偿。</w:t>
      </w:r>
    </w:p>
    <w:p w14:paraId="1942AD5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方正仿宋_GBK" w:hAnsi="方正仿宋_GBK" w:eastAsia="方正仿宋_GBK"/>
          <w:sz w:val="28"/>
          <w:szCs w:val="28"/>
          <w:lang w:val="en-US" w:eastAsia="zh-CN"/>
        </w:rPr>
      </w:pPr>
    </w:p>
    <w:p w14:paraId="203A76E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B0F905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E13A7B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A43EDA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611075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71B479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1814FB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8D3FEA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9F8F0A8">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46C702E">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D50E8F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F5B25F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E23111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1F794F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2D24A25">
      <w:pPr>
        <w:tabs>
          <w:tab w:val="left" w:pos="2332"/>
        </w:tabs>
        <w:jc w:val="both"/>
        <w:outlineLvl w:val="0"/>
        <w:rPr>
          <w:rFonts w:hint="eastAsia" w:ascii="宋体" w:hAnsi="宋体" w:eastAsia="宋体" w:cs="宋体"/>
          <w:b/>
          <w:color w:val="000000" w:themeColor="text1"/>
          <w:sz w:val="36"/>
          <w:szCs w:val="36"/>
          <w:shd w:val="clear" w:color="auto" w:fill="auto"/>
          <w:lang w:val="en-US" w:eastAsia="zh-CN"/>
          <w14:textFill>
            <w14:solidFill>
              <w14:schemeClr w14:val="tx1"/>
            </w14:solidFill>
          </w14:textFill>
        </w:rPr>
      </w:pPr>
      <w:r>
        <w:rPr>
          <w:rFonts w:hint="eastAsia" w:ascii="宋体" w:hAnsi="宋体" w:eastAsia="宋体" w:cs="宋体"/>
          <w:b/>
          <w:color w:val="000000" w:themeColor="text1"/>
          <w:sz w:val="36"/>
          <w:szCs w:val="36"/>
          <w:shd w:val="clear" w:color="auto" w:fill="auto"/>
          <w:lang w:val="en-US" w:eastAsia="zh-CN"/>
          <w14:textFill>
            <w14:solidFill>
              <w14:schemeClr w14:val="tx1"/>
            </w14:solidFill>
          </w14:textFill>
        </w:rPr>
        <w:t xml:space="preserve"> </w:t>
      </w: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7"/>
      <w:bookmarkEnd w:id="78"/>
      <w:bookmarkEnd w:id="79"/>
      <w:bookmarkEnd w:id="80"/>
      <w:bookmarkEnd w:id="81"/>
      <w:bookmarkStart w:id="82" w:name="_Toc12789059"/>
      <w:bookmarkStart w:id="83"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4" w:name="_Toc11645"/>
      <w:bookmarkStart w:id="85" w:name="_Toc7358"/>
      <w:bookmarkStart w:id="86" w:name="_Toc485108793"/>
      <w:bookmarkStart w:id="87"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698906A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1.服务地点</w:t>
      </w:r>
    </w:p>
    <w:p w14:paraId="2DE811B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服务地点：重庆医科大学附属永川医院兴龙湖院区全科楼21楼，重庆医科大学附属永川医院萱花院区综合楼4楼。</w:t>
      </w:r>
    </w:p>
    <w:p w14:paraId="27DA25D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2.考核方式</w:t>
      </w:r>
    </w:p>
    <w:p w14:paraId="2AFB234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（1）施工过程中不得影响信息中心机房设备正常运行，因施工不当导致机房环境异常，进而造成机房设备损坏、数据丢失等一切损失，由投标人承担全部责任及相应赔偿。</w:t>
      </w:r>
    </w:p>
    <w:p w14:paraId="3A461B5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（2）施工完成后，须对施工服务内容提供不少于12个月的质量保修期。</w:t>
      </w:r>
    </w:p>
    <w:p w14:paraId="21A7B15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3.报价方式：</w:t>
      </w:r>
      <w:r>
        <w:rPr>
          <w:rFonts w:hint="default" w:ascii="宋体" w:hAnsi="宋体" w:eastAsia="宋体" w:cs="宋体"/>
          <w:color w:val="FF0000"/>
          <w:sz w:val="24"/>
          <w:szCs w:val="24"/>
          <w:shd w:val="clear" w:color="auto" w:fill="auto"/>
          <w:lang w:val="en-US" w:eastAsia="zh-CN"/>
        </w:rPr>
        <w:t>本项服务为包干服务</w:t>
      </w:r>
      <w:r>
        <w:rPr>
          <w:rFonts w:hint="eastAsia" w:ascii="宋体" w:hAnsi="宋体" w:eastAsia="宋体" w:cs="宋体"/>
          <w:color w:val="FF0000"/>
          <w:sz w:val="24"/>
          <w:szCs w:val="24"/>
          <w:shd w:val="clear" w:color="auto" w:fill="auto"/>
          <w:lang w:val="en-US" w:eastAsia="zh-CN"/>
        </w:rPr>
        <w:t>，参选供应商</w:t>
      </w:r>
      <w:r>
        <w:rPr>
          <w:rFonts w:hint="default" w:ascii="宋体" w:hAnsi="宋体" w:eastAsia="宋体" w:cs="宋体"/>
          <w:color w:val="FF0000"/>
          <w:sz w:val="24"/>
          <w:szCs w:val="24"/>
          <w:shd w:val="clear" w:color="auto" w:fill="auto"/>
          <w:lang w:val="en-US" w:eastAsia="zh-CN"/>
        </w:rPr>
        <w:t>的报价应包含</w:t>
      </w:r>
      <w:r>
        <w:rPr>
          <w:rFonts w:hint="eastAsia" w:ascii="宋体" w:hAnsi="宋体" w:eastAsia="宋体" w:cs="宋体"/>
          <w:color w:val="FF0000"/>
          <w:sz w:val="24"/>
          <w:szCs w:val="24"/>
          <w:shd w:val="clear" w:color="auto" w:fill="auto"/>
          <w:lang w:val="en-US" w:eastAsia="zh-CN"/>
        </w:rPr>
        <w:t>服务</w:t>
      </w:r>
      <w:r>
        <w:rPr>
          <w:rFonts w:hint="default" w:ascii="宋体" w:hAnsi="宋体" w:eastAsia="宋体" w:cs="宋体"/>
          <w:color w:val="FF0000"/>
          <w:sz w:val="24"/>
          <w:szCs w:val="24"/>
          <w:shd w:val="clear" w:color="auto" w:fill="auto"/>
          <w:lang w:val="en-US" w:eastAsia="zh-CN"/>
        </w:rPr>
        <w:t>过程中所涉及的全部费用，包括但不限于所有耗材、配件、辅材、人工、运输、吊装、工具设备使用、保险、税费等完成本项服务所需的一切费用</w:t>
      </w:r>
      <w:r>
        <w:rPr>
          <w:rFonts w:hint="eastAsia"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rPr>
        <w:t>须为人民币报价。因</w:t>
      </w:r>
      <w:r>
        <w:rPr>
          <w:rFonts w:hint="eastAsia" w:ascii="宋体" w:hAnsi="宋体" w:eastAsia="宋体" w:cs="宋体"/>
          <w:color w:val="FF0000"/>
          <w:sz w:val="24"/>
          <w:szCs w:val="24"/>
          <w:shd w:val="clear" w:color="auto" w:fill="auto"/>
          <w:lang w:val="en-US"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p>
    <w:p w14:paraId="352937C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4.付款方式：服务完成后，成交供应商凭合法有效的发票与服务完成单据，经采购人审核无误后，60天内付款</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4"/>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5"/>
      <w:bookmarkEnd w:id="86"/>
      <w:bookmarkEnd w:id="87"/>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82"/>
      <w:bookmarkEnd w:id="83"/>
      <w:bookmarkStart w:id="88" w:name="_Toc15711"/>
      <w:bookmarkStart w:id="89" w:name="_Toc485108794"/>
      <w:bookmarkStart w:id="90" w:name="_Toc14840"/>
      <w:bookmarkStart w:id="91" w:name="_Toc26989"/>
      <w:bookmarkStart w:id="92" w:name="_Toc403569796"/>
      <w:bookmarkStart w:id="93" w:name="_Toc303945820"/>
      <w:bookmarkStart w:id="94"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8"/>
      <w:bookmarkEnd w:id="89"/>
      <w:bookmarkEnd w:id="90"/>
      <w:bookmarkEnd w:id="91"/>
      <w:bookmarkEnd w:id="92"/>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54718202"/>
      <w:bookmarkStart w:id="96"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5"/>
      <w:bookmarkEnd w:id="96"/>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7"/>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8"/>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9"/>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100"/>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101"/>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2" w:name="_Toc54718203"/>
      <w:bookmarkStart w:id="103"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102"/>
      <w:bookmarkEnd w:id="103"/>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4"/>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54718204"/>
      <w:bookmarkStart w:id="106"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5"/>
      <w:bookmarkEnd w:id="106"/>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25177"/>
      <w:bookmarkStart w:id="108"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7"/>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9"/>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8"/>
      <w:bookmarkEnd w:id="110"/>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1"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11"/>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12"/>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3"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13"/>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54718206"/>
      <w:bookmarkStart w:id="115"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4"/>
      <w:bookmarkEnd w:id="115"/>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6" w:name="_Toc12985"/>
      <w:bookmarkStart w:id="117"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6"/>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7"/>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9053"/>
      <w:bookmarkStart w:id="119"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8"/>
      <w:bookmarkEnd w:id="119"/>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20"/>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21"/>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22"/>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3" w:name="_Toc54718211"/>
      <w:bookmarkStart w:id="124" w:name="_Toc1158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23"/>
      <w:bookmarkEnd w:id="124"/>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5"/>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6"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6"/>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7" w:name="_Toc54718210"/>
      <w:bookmarkStart w:id="128" w:name="_Toc31719"/>
      <w:bookmarkStart w:id="129" w:name="_Toc54718212"/>
      <w:bookmarkStart w:id="130"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7"/>
      <w:bookmarkEnd w:id="128"/>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31"/>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32"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32"/>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9"/>
      <w:bookmarkEnd w:id="130"/>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33"/>
      <w:bookmarkEnd w:id="134"/>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5"/>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6"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6"/>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7"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7"/>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8"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8"/>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9"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9"/>
    </w:p>
    <w:bookmarkEnd w:id="93"/>
    <w:bookmarkEnd w:id="94"/>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40" w:name="_Hlt41879464"/>
      <w:bookmarkEnd w:id="140"/>
      <w:bookmarkStart w:id="141" w:name="_Toc13696"/>
      <w:bookmarkStart w:id="142" w:name="_Toc485108795"/>
      <w:bookmarkStart w:id="143" w:name="_Toc14085"/>
      <w:bookmarkStart w:id="144" w:name="_Toc12789072"/>
      <w:bookmarkStart w:id="145"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41"/>
      <w:bookmarkEnd w:id="142"/>
      <w:bookmarkEnd w:id="143"/>
      <w:bookmarkEnd w:id="144"/>
      <w:bookmarkEnd w:id="145"/>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6"/>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7"/>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8"/>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38358147"/>
      <w:bookmarkStart w:id="150" w:name="OLE_LINK11"/>
      <w:bookmarkStart w:id="151"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9"/>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52"/>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53" w:name="_Toc19884"/>
      <w:bookmarkStart w:id="154" w:name="_Toc21293"/>
      <w:bookmarkStart w:id="155"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53"/>
      <w:bookmarkEnd w:id="154"/>
      <w:bookmarkEnd w:id="155"/>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6"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6"/>
    </w:p>
    <w:bookmarkEnd w:id="150"/>
    <w:bookmarkEnd w:id="151"/>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7" w:name="_Toc480979018"/>
      <w:bookmarkStart w:id="158" w:name="_Toc485108796"/>
      <w:bookmarkStart w:id="159" w:name="_Toc313008356"/>
      <w:bookmarkStart w:id="160" w:name="_Toc313888360"/>
      <w:bookmarkStart w:id="161" w:name="_Toc342913419"/>
      <w:bookmarkStart w:id="162" w:name="_Toc5565"/>
      <w:bookmarkStart w:id="163" w:name="_Toc12789073"/>
      <w:bookmarkStart w:id="164"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7"/>
      <w:bookmarkEnd w:id="158"/>
      <w:bookmarkEnd w:id="159"/>
      <w:bookmarkEnd w:id="160"/>
      <w:bookmarkEnd w:id="161"/>
      <w:bookmarkEnd w:id="162"/>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63"/>
    <w:bookmarkEnd w:id="164"/>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FF"/>
          <w:sz w:val="24"/>
          <w:szCs w:val="24"/>
          <w:shd w:val="clear" w:color="auto" w:fill="auto"/>
        </w:rPr>
        <w:t>电子文档</w:t>
      </w:r>
      <w:r>
        <w:rPr>
          <w:rFonts w:hint="eastAsia" w:ascii="宋体" w:hAnsi="宋体" w:eastAsia="宋体" w:cs="宋体"/>
          <w:color w:val="0000FF"/>
          <w:sz w:val="24"/>
          <w:szCs w:val="24"/>
          <w:u w:val="single"/>
          <w:shd w:val="clear" w:color="auto" w:fill="auto"/>
        </w:rPr>
        <w:t xml:space="preserve">   </w:t>
      </w:r>
      <w:r>
        <w:rPr>
          <w:rFonts w:hint="eastAsia" w:ascii="宋体" w:hAnsi="宋体" w:eastAsia="宋体" w:cs="宋体"/>
          <w:color w:val="0000FF"/>
          <w:sz w:val="24"/>
          <w:szCs w:val="24"/>
          <w:shd w:val="clear" w:color="auto" w:fill="auto"/>
        </w:rPr>
        <w:t>份</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2949"/>
        <w:gridCol w:w="2949"/>
      </w:tblGrid>
      <w:tr w14:paraId="4C12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09EE83B3">
            <w:pPr>
              <w:spacing w:line="400" w:lineRule="exact"/>
              <w:jc w:val="center"/>
              <w:rPr>
                <w:rFonts w:hint="eastAsia" w:ascii="宋体" w:hAnsi="宋体" w:eastAsia="宋体" w:cs="宋体"/>
                <w:b w:val="0"/>
                <w:bCs w:val="0"/>
                <w:color w:val="000000"/>
                <w:sz w:val="24"/>
                <w:szCs w:val="24"/>
                <w:vertAlign w:val="baseline"/>
                <w:lang w:eastAsia="zh-CN"/>
              </w:rPr>
            </w:pPr>
            <w:bookmarkStart w:id="165" w:name="_Toc313008357"/>
            <w:bookmarkStart w:id="166" w:name="_Toc480979019"/>
            <w:bookmarkStart w:id="167" w:name="_Toc485108797"/>
            <w:bookmarkStart w:id="168" w:name="_Toc12908"/>
            <w:bookmarkStart w:id="169" w:name="_Toc342913420"/>
            <w:bookmarkStart w:id="170" w:name="_Toc313888361"/>
            <w:bookmarkStart w:id="171" w:name="_Toc9883"/>
            <w:r>
              <w:rPr>
                <w:rFonts w:hint="eastAsia" w:ascii="宋体" w:hAnsi="宋体" w:eastAsia="宋体" w:cs="宋体"/>
                <w:b w:val="0"/>
                <w:bCs w:val="0"/>
                <w:color w:val="000000"/>
                <w:sz w:val="24"/>
                <w:szCs w:val="24"/>
                <w:vertAlign w:val="baseline"/>
                <w:lang w:eastAsia="zh-CN"/>
              </w:rPr>
              <w:t>项目名称</w:t>
            </w:r>
          </w:p>
        </w:tc>
        <w:tc>
          <w:tcPr>
            <w:tcW w:w="2949" w:type="dxa"/>
          </w:tcPr>
          <w:p w14:paraId="35FC8281">
            <w:pPr>
              <w:spacing w:line="400" w:lineRule="exact"/>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价格（元）</w:t>
            </w:r>
          </w:p>
        </w:tc>
        <w:tc>
          <w:tcPr>
            <w:tcW w:w="2949" w:type="dxa"/>
          </w:tcPr>
          <w:p w14:paraId="33D90FB7">
            <w:pPr>
              <w:spacing w:line="400" w:lineRule="exact"/>
              <w:jc w:val="center"/>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备注</w:t>
            </w:r>
          </w:p>
        </w:tc>
      </w:tr>
      <w:tr w14:paraId="067D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ECB053A">
            <w:pPr>
              <w:spacing w:line="400" w:lineRule="exact"/>
              <w:jc w:val="center"/>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themeColor="text1"/>
                <w:kern w:val="0"/>
                <w:sz w:val="24"/>
                <w:szCs w:val="24"/>
                <w:lang w:eastAsia="zh-CN"/>
                <w14:textFill>
                  <w14:solidFill>
                    <w14:schemeClr w14:val="tx1"/>
                  </w14:solidFill>
                </w14:textFill>
              </w:rPr>
              <w:t>信息中心精密空调移机服务</w:t>
            </w:r>
          </w:p>
        </w:tc>
        <w:tc>
          <w:tcPr>
            <w:tcW w:w="2949" w:type="dxa"/>
          </w:tcPr>
          <w:p w14:paraId="78C300F8">
            <w:pPr>
              <w:spacing w:line="400" w:lineRule="exact"/>
              <w:jc w:val="center"/>
              <w:rPr>
                <w:rFonts w:hint="eastAsia" w:ascii="宋体" w:hAnsi="宋体" w:eastAsia="宋体" w:cs="宋体"/>
                <w:b w:val="0"/>
                <w:bCs w:val="0"/>
                <w:color w:val="000000"/>
                <w:sz w:val="24"/>
                <w:szCs w:val="24"/>
                <w:vertAlign w:val="baseline"/>
                <w:lang w:eastAsia="zh-CN"/>
              </w:rPr>
            </w:pPr>
          </w:p>
        </w:tc>
        <w:tc>
          <w:tcPr>
            <w:tcW w:w="2949" w:type="dxa"/>
          </w:tcPr>
          <w:p w14:paraId="1D26C746">
            <w:pPr>
              <w:spacing w:line="400" w:lineRule="exact"/>
              <w:jc w:val="center"/>
              <w:rPr>
                <w:rFonts w:hint="eastAsia" w:ascii="宋体" w:hAnsi="宋体" w:eastAsia="宋体" w:cs="宋体"/>
                <w:b w:val="0"/>
                <w:bCs w:val="0"/>
                <w:color w:val="000000"/>
                <w:sz w:val="24"/>
                <w:szCs w:val="24"/>
                <w:vertAlign w:val="baseline"/>
                <w:lang w:eastAsia="zh-CN"/>
              </w:rPr>
            </w:pPr>
          </w:p>
        </w:tc>
      </w:tr>
      <w:tr w14:paraId="21D0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DA0A832">
            <w:pPr>
              <w:spacing w:line="400" w:lineRule="exact"/>
              <w:jc w:val="center"/>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质保期（年）</w:t>
            </w:r>
          </w:p>
        </w:tc>
        <w:tc>
          <w:tcPr>
            <w:tcW w:w="5898" w:type="dxa"/>
            <w:gridSpan w:val="2"/>
          </w:tcPr>
          <w:p w14:paraId="3F84ECF5">
            <w:pPr>
              <w:spacing w:line="400" w:lineRule="exact"/>
              <w:jc w:val="center"/>
              <w:rPr>
                <w:rFonts w:hint="eastAsia" w:ascii="宋体" w:hAnsi="宋体" w:eastAsia="宋体" w:cs="宋体"/>
                <w:b w:val="0"/>
                <w:bCs w:val="0"/>
                <w:color w:val="000000"/>
                <w:sz w:val="24"/>
                <w:szCs w:val="24"/>
                <w:vertAlign w:val="baseline"/>
                <w:lang w:eastAsia="zh-CN"/>
              </w:rPr>
            </w:pPr>
          </w:p>
        </w:tc>
      </w:tr>
    </w:tbl>
    <w:p w14:paraId="5EBC5B79">
      <w:pPr>
        <w:spacing w:line="500" w:lineRule="exact"/>
        <w:rPr>
          <w:rFonts w:hint="eastAsia" w:ascii="宋体" w:hAnsi="宋体" w:eastAsia="宋体" w:cs="宋体"/>
          <w:color w:val="000000" w:themeColor="text1"/>
          <w:sz w:val="24"/>
          <w:szCs w:val="24"/>
          <w14:textFill>
            <w14:solidFill>
              <w14:schemeClr w14:val="tx1"/>
            </w14:solidFill>
          </w14:textFill>
        </w:rPr>
      </w:pPr>
      <w:r>
        <w:rPr>
          <w:rFonts w:hint="eastAsia" w:ascii="楷体" w:hAnsi="楷体" w:eastAsia="楷体"/>
          <w:b/>
          <w:bCs/>
          <w:color w:val="000000"/>
          <w:sz w:val="28"/>
          <w:szCs w:val="28"/>
          <w:lang w:eastAsia="zh-CN"/>
        </w:rPr>
        <w:t>注：</w:t>
      </w:r>
      <w:r>
        <w:rPr>
          <w:rFonts w:hint="default" w:ascii="宋体" w:hAnsi="宋体" w:eastAsia="宋体" w:cs="宋体"/>
          <w:color w:val="FF0000"/>
          <w:sz w:val="24"/>
          <w:szCs w:val="24"/>
          <w:shd w:val="clear" w:color="auto" w:fill="auto"/>
          <w:lang w:val="en-US" w:eastAsia="zh-CN"/>
        </w:rPr>
        <w:t>本项服务为包干服务</w:t>
      </w:r>
      <w:r>
        <w:rPr>
          <w:rFonts w:hint="eastAsia" w:ascii="宋体" w:hAnsi="宋体" w:eastAsia="宋体" w:cs="宋体"/>
          <w:color w:val="FF0000"/>
          <w:sz w:val="24"/>
          <w:szCs w:val="24"/>
          <w:shd w:val="clear" w:color="auto" w:fill="auto"/>
          <w:lang w:val="en-US" w:eastAsia="zh-CN"/>
        </w:rPr>
        <w:t>，参选供应商</w:t>
      </w:r>
      <w:r>
        <w:rPr>
          <w:rFonts w:hint="default" w:ascii="宋体" w:hAnsi="宋体" w:eastAsia="宋体" w:cs="宋体"/>
          <w:color w:val="FF0000"/>
          <w:sz w:val="24"/>
          <w:szCs w:val="24"/>
          <w:shd w:val="clear" w:color="auto" w:fill="auto"/>
          <w:lang w:val="en-US" w:eastAsia="zh-CN"/>
        </w:rPr>
        <w:t>的报价应包含</w:t>
      </w:r>
      <w:r>
        <w:rPr>
          <w:rFonts w:hint="eastAsia" w:ascii="宋体" w:hAnsi="宋体" w:eastAsia="宋体" w:cs="宋体"/>
          <w:color w:val="FF0000"/>
          <w:sz w:val="24"/>
          <w:szCs w:val="24"/>
          <w:shd w:val="clear" w:color="auto" w:fill="auto"/>
          <w:lang w:val="en-US" w:eastAsia="zh-CN"/>
        </w:rPr>
        <w:t>服务</w:t>
      </w:r>
      <w:r>
        <w:rPr>
          <w:rFonts w:hint="default" w:ascii="宋体" w:hAnsi="宋体" w:eastAsia="宋体" w:cs="宋体"/>
          <w:color w:val="FF0000"/>
          <w:sz w:val="24"/>
          <w:szCs w:val="24"/>
          <w:shd w:val="clear" w:color="auto" w:fill="auto"/>
          <w:lang w:val="en-US" w:eastAsia="zh-CN"/>
        </w:rPr>
        <w:t>过程中所涉及的全部费用，包括但不限于所有耗材、配件、辅材、人工、运输、吊装、工具设备使用、保险、税费等完成本项服务所需的一切费用</w:t>
      </w:r>
      <w:r>
        <w:rPr>
          <w:rFonts w:hint="eastAsia"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rPr>
        <w:t>须为人民币报价。因</w:t>
      </w:r>
      <w:r>
        <w:rPr>
          <w:rFonts w:hint="eastAsia" w:ascii="宋体" w:hAnsi="宋体" w:eastAsia="宋体" w:cs="宋体"/>
          <w:color w:val="FF0000"/>
          <w:sz w:val="24"/>
          <w:szCs w:val="24"/>
          <w:shd w:val="clear" w:color="auto" w:fill="auto"/>
          <w:lang w:val="en-US"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r>
        <w:rPr>
          <w:rFonts w:hint="eastAsia" w:ascii="宋体" w:hAnsi="宋体" w:eastAsia="宋体" w:cs="宋体"/>
          <w:szCs w:val="28"/>
          <w:lang w:val="en-US" w:eastAsia="zh-CN"/>
        </w:rPr>
        <w:t>。</w:t>
      </w: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55125B7">
      <w:pPr>
        <w:outlineLvl w:val="0"/>
        <w:rPr>
          <w:rFonts w:hint="eastAsia" w:ascii="宋体" w:hAnsi="宋体" w:eastAsia="宋体" w:cs="宋体"/>
          <w:b/>
          <w:color w:val="000000" w:themeColor="text1"/>
          <w:shd w:val="clear" w:color="auto" w:fill="auto"/>
          <w14:textFill>
            <w14:solidFill>
              <w14:schemeClr w14:val="tx1"/>
            </w14:solidFill>
          </w14:textFill>
        </w:rPr>
      </w:pPr>
    </w:p>
    <w:p w14:paraId="77922480">
      <w:pPr>
        <w:outlineLvl w:val="0"/>
        <w:rPr>
          <w:rFonts w:hint="eastAsia" w:ascii="宋体" w:hAnsi="宋体" w:eastAsia="宋体" w:cs="宋体"/>
          <w:b/>
          <w:color w:val="000000" w:themeColor="text1"/>
          <w:shd w:val="clear" w:color="auto" w:fill="auto"/>
          <w14:textFill>
            <w14:solidFill>
              <w14:schemeClr w14:val="tx1"/>
            </w14:solidFill>
          </w14:textFill>
        </w:rPr>
      </w:pPr>
    </w:p>
    <w:p w14:paraId="6F54316F">
      <w:pPr>
        <w:outlineLvl w:val="0"/>
        <w:rPr>
          <w:rFonts w:hint="eastAsia" w:ascii="宋体" w:hAnsi="宋体" w:eastAsia="宋体" w:cs="宋体"/>
          <w:b/>
          <w:color w:val="000000" w:themeColor="text1"/>
          <w:shd w:val="clear" w:color="auto" w:fill="auto"/>
          <w14:textFill>
            <w14:solidFill>
              <w14:schemeClr w14:val="tx1"/>
            </w14:solidFill>
          </w14:textFill>
        </w:rPr>
      </w:pPr>
    </w:p>
    <w:p w14:paraId="4043016C">
      <w:pPr>
        <w:outlineLvl w:val="0"/>
        <w:rPr>
          <w:rFonts w:hint="eastAsia" w:ascii="宋体" w:hAnsi="宋体" w:eastAsia="宋体" w:cs="宋体"/>
          <w:b/>
          <w:color w:val="000000" w:themeColor="text1"/>
          <w:shd w:val="clear" w:color="auto" w:fill="auto"/>
          <w14:textFill>
            <w14:solidFill>
              <w14:schemeClr w14:val="tx1"/>
            </w14:solidFill>
          </w14:textFill>
        </w:rPr>
      </w:pPr>
    </w:p>
    <w:p w14:paraId="19E69BEB">
      <w:pPr>
        <w:outlineLvl w:val="0"/>
        <w:rPr>
          <w:rFonts w:hint="eastAsia" w:ascii="宋体" w:hAnsi="宋体" w:eastAsia="宋体" w:cs="宋体"/>
          <w:b/>
          <w:color w:val="000000" w:themeColor="text1"/>
          <w:shd w:val="clear" w:color="auto" w:fill="auto"/>
          <w14:textFill>
            <w14:solidFill>
              <w14:schemeClr w14:val="tx1"/>
            </w14:solidFill>
          </w14:textFill>
        </w:rPr>
      </w:pPr>
    </w:p>
    <w:p w14:paraId="712A3E5D">
      <w:pPr>
        <w:outlineLvl w:val="0"/>
        <w:rPr>
          <w:rFonts w:hint="eastAsia" w:ascii="宋体" w:hAnsi="宋体" w:eastAsia="宋体" w:cs="宋体"/>
          <w:b/>
          <w:color w:val="000000" w:themeColor="text1"/>
          <w:shd w:val="clear" w:color="auto" w:fill="auto"/>
          <w14:textFill>
            <w14:solidFill>
              <w14:schemeClr w14:val="tx1"/>
            </w14:solidFill>
          </w14:textFill>
        </w:rPr>
      </w:pPr>
    </w:p>
    <w:p w14:paraId="06A15DE4">
      <w:pPr>
        <w:outlineLvl w:val="0"/>
        <w:rPr>
          <w:rFonts w:hint="eastAsia" w:ascii="宋体" w:hAnsi="宋体" w:eastAsia="宋体" w:cs="宋体"/>
          <w:b/>
          <w:color w:val="000000" w:themeColor="text1"/>
          <w:shd w:val="clear" w:color="auto" w:fill="auto"/>
          <w14:textFill>
            <w14:solidFill>
              <w14:schemeClr w14:val="tx1"/>
            </w14:solidFill>
          </w14:textFill>
        </w:rPr>
      </w:pPr>
    </w:p>
    <w:p w14:paraId="1445E058">
      <w:pPr>
        <w:outlineLvl w:val="0"/>
        <w:rPr>
          <w:rFonts w:hint="eastAsia" w:ascii="宋体" w:hAnsi="宋体" w:eastAsia="宋体" w:cs="宋体"/>
          <w:b/>
          <w:color w:val="000000" w:themeColor="text1"/>
          <w:shd w:val="clear" w:color="auto" w:fill="auto"/>
          <w14:textFill>
            <w14:solidFill>
              <w14:schemeClr w14:val="tx1"/>
            </w14:solidFill>
          </w14:textFill>
        </w:rPr>
      </w:pPr>
    </w:p>
    <w:p w14:paraId="24574482">
      <w:pPr>
        <w:outlineLvl w:val="0"/>
        <w:rPr>
          <w:rFonts w:hint="eastAsia" w:ascii="宋体" w:hAnsi="宋体" w:eastAsia="宋体" w:cs="宋体"/>
          <w:b/>
          <w:color w:val="000000" w:themeColor="text1"/>
          <w:shd w:val="clear" w:color="auto" w:fill="auto"/>
          <w14:textFill>
            <w14:solidFill>
              <w14:schemeClr w14:val="tx1"/>
            </w14:solidFill>
          </w14:textFill>
        </w:rPr>
      </w:pPr>
    </w:p>
    <w:p w14:paraId="1AEE165B">
      <w:pPr>
        <w:outlineLvl w:val="0"/>
        <w:rPr>
          <w:rFonts w:hint="eastAsia" w:ascii="宋体" w:hAnsi="宋体" w:eastAsia="宋体" w:cs="宋体"/>
          <w:b/>
          <w:color w:val="000000" w:themeColor="text1"/>
          <w:shd w:val="clear" w:color="auto" w:fill="auto"/>
          <w14:textFill>
            <w14:solidFill>
              <w14:schemeClr w14:val="tx1"/>
            </w14:solidFill>
          </w14:textFill>
        </w:rPr>
      </w:pPr>
    </w:p>
    <w:p w14:paraId="599F7A9A">
      <w:pPr>
        <w:outlineLvl w:val="0"/>
        <w:rPr>
          <w:rFonts w:hint="eastAsia" w:ascii="宋体" w:hAnsi="宋体" w:eastAsia="宋体" w:cs="宋体"/>
          <w:b/>
          <w:color w:val="000000" w:themeColor="text1"/>
          <w:shd w:val="clear" w:color="auto" w:fill="auto"/>
          <w14:textFill>
            <w14:solidFill>
              <w14:schemeClr w14:val="tx1"/>
            </w14:solidFill>
          </w14:textFill>
        </w:rPr>
      </w:pPr>
    </w:p>
    <w:p w14:paraId="4BAD9C20">
      <w:pPr>
        <w:outlineLvl w:val="0"/>
        <w:rPr>
          <w:rFonts w:hint="eastAsia" w:ascii="宋体" w:hAnsi="宋体" w:eastAsia="宋体" w:cs="宋体"/>
          <w:b/>
          <w:color w:val="000000" w:themeColor="text1"/>
          <w:shd w:val="clear" w:color="auto" w:fill="auto"/>
          <w14:textFill>
            <w14:solidFill>
              <w14:schemeClr w14:val="tx1"/>
            </w14:solidFill>
          </w14:textFill>
        </w:rPr>
      </w:pPr>
    </w:p>
    <w:p w14:paraId="59866008">
      <w:pPr>
        <w:outlineLvl w:val="0"/>
        <w:rPr>
          <w:rFonts w:hint="eastAsia" w:ascii="宋体" w:hAnsi="宋体" w:eastAsia="宋体" w:cs="宋体"/>
          <w:b/>
          <w:color w:val="000000" w:themeColor="text1"/>
          <w:shd w:val="clear" w:color="auto" w:fill="auto"/>
          <w14:textFill>
            <w14:solidFill>
              <w14:schemeClr w14:val="tx1"/>
            </w14:solidFill>
          </w14:textFill>
        </w:rPr>
      </w:pPr>
    </w:p>
    <w:p w14:paraId="107F2AEA">
      <w:pPr>
        <w:outlineLvl w:val="0"/>
        <w:rPr>
          <w:rFonts w:hint="eastAsia" w:ascii="宋体" w:hAnsi="宋体" w:eastAsia="宋体" w:cs="宋体"/>
          <w:b/>
          <w:color w:val="000000" w:themeColor="text1"/>
          <w:shd w:val="clear" w:color="auto" w:fill="auto"/>
          <w14:textFill>
            <w14:solidFill>
              <w14:schemeClr w14:val="tx1"/>
            </w14:solidFill>
          </w14:textFill>
        </w:rPr>
      </w:pPr>
    </w:p>
    <w:p w14:paraId="287DAEE1">
      <w:pPr>
        <w:outlineLvl w:val="0"/>
        <w:rPr>
          <w:rFonts w:hint="eastAsia" w:ascii="宋体" w:hAnsi="宋体" w:eastAsia="宋体" w:cs="宋体"/>
          <w:b/>
          <w:color w:val="000000" w:themeColor="text1"/>
          <w:shd w:val="clear" w:color="auto" w:fill="auto"/>
          <w14:textFill>
            <w14:solidFill>
              <w14:schemeClr w14:val="tx1"/>
            </w14:solidFill>
          </w14:textFill>
        </w:rPr>
      </w:pPr>
    </w:p>
    <w:p w14:paraId="154C2687">
      <w:pPr>
        <w:outlineLvl w:val="0"/>
        <w:rPr>
          <w:rFonts w:hint="eastAsia" w:ascii="宋体" w:hAnsi="宋体" w:eastAsia="宋体" w:cs="宋体"/>
          <w:b/>
          <w:color w:val="000000" w:themeColor="text1"/>
          <w:shd w:val="clear" w:color="auto" w:fill="auto"/>
          <w14:textFill>
            <w14:solidFill>
              <w14:schemeClr w14:val="tx1"/>
            </w14:solidFill>
          </w14:textFill>
        </w:rPr>
      </w:pPr>
    </w:p>
    <w:p w14:paraId="7E7D84D3">
      <w:pPr>
        <w:outlineLvl w:val="0"/>
        <w:rPr>
          <w:rFonts w:hint="eastAsia" w:ascii="宋体" w:hAnsi="宋体" w:eastAsia="宋体" w:cs="宋体"/>
          <w:b/>
          <w:color w:val="000000" w:themeColor="text1"/>
          <w:shd w:val="clear" w:color="auto" w:fill="auto"/>
          <w14:textFill>
            <w14:solidFill>
              <w14:schemeClr w14:val="tx1"/>
            </w14:solidFill>
          </w14:textFill>
        </w:rPr>
      </w:pPr>
    </w:p>
    <w:p w14:paraId="02682F7E">
      <w:pPr>
        <w:outlineLvl w:val="0"/>
        <w:rPr>
          <w:rFonts w:hint="eastAsia" w:ascii="宋体" w:hAnsi="宋体" w:eastAsia="宋体" w:cs="宋体"/>
          <w:b/>
          <w:color w:val="000000" w:themeColor="text1"/>
          <w:shd w:val="clear" w:color="auto" w:fill="auto"/>
          <w14:textFill>
            <w14:solidFill>
              <w14:schemeClr w14:val="tx1"/>
            </w14:solidFill>
          </w14:textFill>
        </w:rPr>
      </w:pPr>
    </w:p>
    <w:p w14:paraId="3FAB22E9">
      <w:pPr>
        <w:outlineLvl w:val="0"/>
        <w:rPr>
          <w:rFonts w:hint="eastAsia" w:ascii="宋体" w:hAnsi="宋体" w:eastAsia="宋体" w:cs="宋体"/>
          <w:b/>
          <w:color w:val="000000" w:themeColor="text1"/>
          <w:shd w:val="clear" w:color="auto" w:fill="auto"/>
          <w14:textFill>
            <w14:solidFill>
              <w14:schemeClr w14:val="tx1"/>
            </w14:solidFill>
          </w14:textFill>
        </w:rPr>
      </w:pPr>
    </w:p>
    <w:p w14:paraId="5BF72AA2">
      <w:pPr>
        <w:outlineLvl w:val="0"/>
        <w:rPr>
          <w:rFonts w:hint="eastAsia" w:ascii="宋体" w:hAnsi="宋体" w:eastAsia="宋体" w:cs="宋体"/>
          <w:b/>
          <w:color w:val="000000" w:themeColor="text1"/>
          <w:shd w:val="clear" w:color="auto" w:fill="auto"/>
          <w14:textFill>
            <w14:solidFill>
              <w14:schemeClr w14:val="tx1"/>
            </w14:solidFill>
          </w14:textFill>
        </w:rPr>
      </w:pPr>
    </w:p>
    <w:p w14:paraId="691573F4">
      <w:pPr>
        <w:outlineLvl w:val="0"/>
        <w:rPr>
          <w:rFonts w:hint="eastAsia" w:ascii="宋体" w:hAnsi="宋体" w:eastAsia="宋体" w:cs="宋体"/>
          <w:b/>
          <w:color w:val="000000" w:themeColor="text1"/>
          <w:shd w:val="clear" w:color="auto" w:fill="auto"/>
          <w14:textFill>
            <w14:solidFill>
              <w14:schemeClr w14:val="tx1"/>
            </w14:solidFill>
          </w14:textFill>
        </w:rPr>
      </w:pPr>
    </w:p>
    <w:p w14:paraId="722AFB70">
      <w:pPr>
        <w:outlineLvl w:val="0"/>
        <w:rPr>
          <w:rFonts w:hint="eastAsia" w:ascii="宋体" w:hAnsi="宋体" w:eastAsia="宋体" w:cs="宋体"/>
          <w:b/>
          <w:color w:val="000000" w:themeColor="text1"/>
          <w:shd w:val="clear" w:color="auto" w:fill="auto"/>
          <w14:textFill>
            <w14:solidFill>
              <w14:schemeClr w14:val="tx1"/>
            </w14:solidFill>
          </w14:textFill>
        </w:rPr>
      </w:pPr>
    </w:p>
    <w:p w14:paraId="13462850">
      <w:pPr>
        <w:outlineLvl w:val="0"/>
        <w:rPr>
          <w:rFonts w:hint="eastAsia" w:ascii="宋体" w:hAnsi="宋体" w:eastAsia="宋体" w:cs="宋体"/>
          <w:b/>
          <w:color w:val="000000" w:themeColor="text1"/>
          <w:shd w:val="clear" w:color="auto" w:fill="auto"/>
          <w14:textFill>
            <w14:solidFill>
              <w14:schemeClr w14:val="tx1"/>
            </w14:solidFill>
          </w14:textFill>
        </w:rPr>
      </w:pPr>
    </w:p>
    <w:p w14:paraId="326B861C">
      <w:pPr>
        <w:outlineLvl w:val="0"/>
        <w:rPr>
          <w:rFonts w:hint="eastAsia" w:ascii="宋体" w:hAnsi="宋体" w:eastAsia="宋体" w:cs="宋体"/>
          <w:b/>
          <w:color w:val="000000" w:themeColor="text1"/>
          <w:shd w:val="clear" w:color="auto" w:fill="auto"/>
          <w14:textFill>
            <w14:solidFill>
              <w14:schemeClr w14:val="tx1"/>
            </w14:solidFill>
          </w14:textFill>
        </w:rPr>
      </w:pPr>
    </w:p>
    <w:p w14:paraId="039F1FC8">
      <w:pPr>
        <w:outlineLvl w:val="0"/>
        <w:rPr>
          <w:rFonts w:hint="eastAsia" w:ascii="宋体" w:hAnsi="宋体" w:eastAsia="宋体" w:cs="宋体"/>
          <w:b/>
          <w:color w:val="000000" w:themeColor="text1"/>
          <w:shd w:val="clear" w:color="auto" w:fill="auto"/>
          <w14:textFill>
            <w14:solidFill>
              <w14:schemeClr w14:val="tx1"/>
            </w14:solidFill>
          </w14:textFill>
        </w:rPr>
      </w:pPr>
    </w:p>
    <w:p w14:paraId="77DB1D8E">
      <w:pPr>
        <w:outlineLvl w:val="0"/>
        <w:rPr>
          <w:rFonts w:hint="eastAsia" w:ascii="宋体" w:hAnsi="宋体" w:eastAsia="宋体" w:cs="宋体"/>
          <w:b/>
          <w:color w:val="000000" w:themeColor="text1"/>
          <w:shd w:val="clear" w:color="auto" w:fill="auto"/>
          <w14:textFill>
            <w14:solidFill>
              <w14:schemeClr w14:val="tx1"/>
            </w14:solidFill>
          </w14:textFill>
        </w:rPr>
      </w:pPr>
    </w:p>
    <w:p w14:paraId="79E49CFF">
      <w:pPr>
        <w:outlineLvl w:val="0"/>
        <w:rPr>
          <w:rFonts w:hint="eastAsia" w:ascii="宋体" w:hAnsi="宋体" w:eastAsia="宋体" w:cs="宋体"/>
          <w:b/>
          <w:color w:val="000000" w:themeColor="text1"/>
          <w:shd w:val="clear" w:color="auto" w:fill="auto"/>
          <w14:textFill>
            <w14:solidFill>
              <w14:schemeClr w14:val="tx1"/>
            </w14:solidFill>
          </w14:textFill>
        </w:rPr>
      </w:pPr>
    </w:p>
    <w:p w14:paraId="0E5D38D0">
      <w:pPr>
        <w:outlineLvl w:val="0"/>
        <w:rPr>
          <w:rFonts w:hint="eastAsia" w:ascii="宋体" w:hAnsi="宋体" w:eastAsia="宋体" w:cs="宋体"/>
          <w:b/>
          <w:color w:val="000000" w:themeColor="text1"/>
          <w:shd w:val="clear" w:color="auto" w:fill="auto"/>
          <w14:textFill>
            <w14:solidFill>
              <w14:schemeClr w14:val="tx1"/>
            </w14:solidFill>
          </w14:textFill>
        </w:rPr>
      </w:pPr>
    </w:p>
    <w:p w14:paraId="24C35F1F">
      <w:pPr>
        <w:outlineLvl w:val="0"/>
        <w:rPr>
          <w:rFonts w:hint="eastAsia" w:ascii="宋体" w:hAnsi="宋体" w:eastAsia="宋体" w:cs="宋体"/>
          <w:b/>
          <w:color w:val="000000" w:themeColor="text1"/>
          <w:shd w:val="clear" w:color="auto" w:fill="auto"/>
          <w14:textFill>
            <w14:solidFill>
              <w14:schemeClr w14:val="tx1"/>
            </w14:solidFill>
          </w14:textFill>
        </w:rPr>
      </w:pPr>
    </w:p>
    <w:p w14:paraId="0C4BC7FE">
      <w:pPr>
        <w:outlineLvl w:val="0"/>
        <w:rPr>
          <w:rFonts w:hint="eastAsia" w:ascii="宋体" w:hAnsi="宋体" w:eastAsia="宋体" w:cs="宋体"/>
          <w:b/>
          <w:color w:val="000000" w:themeColor="text1"/>
          <w:shd w:val="clear" w:color="auto" w:fill="auto"/>
          <w14:textFill>
            <w14:solidFill>
              <w14:schemeClr w14:val="tx1"/>
            </w14:solidFill>
          </w14:textFill>
        </w:rPr>
      </w:pPr>
    </w:p>
    <w:p w14:paraId="17258A1B">
      <w:pPr>
        <w:outlineLvl w:val="0"/>
        <w:rPr>
          <w:rFonts w:hint="eastAsia" w:ascii="宋体" w:hAnsi="宋体" w:eastAsia="宋体" w:cs="宋体"/>
          <w:b/>
          <w:color w:val="000000" w:themeColor="text1"/>
          <w:shd w:val="clear" w:color="auto" w:fill="auto"/>
          <w14:textFill>
            <w14:solidFill>
              <w14:schemeClr w14:val="tx1"/>
            </w14:solidFill>
          </w14:textFill>
        </w:rPr>
      </w:pPr>
    </w:p>
    <w:p w14:paraId="59E9EFD0">
      <w:pPr>
        <w:outlineLvl w:val="0"/>
        <w:rPr>
          <w:rFonts w:hint="eastAsia" w:ascii="宋体" w:hAnsi="宋体" w:eastAsia="宋体" w:cs="宋体"/>
          <w:b/>
          <w:color w:val="000000" w:themeColor="text1"/>
          <w:shd w:val="clear" w:color="auto" w:fill="auto"/>
          <w14:textFill>
            <w14:solidFill>
              <w14:schemeClr w14:val="tx1"/>
            </w14:solidFill>
          </w14:textFill>
        </w:rPr>
      </w:pPr>
    </w:p>
    <w:p w14:paraId="53B19E2F">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5"/>
      <w:bookmarkEnd w:id="166"/>
      <w:bookmarkEnd w:id="167"/>
      <w:bookmarkEnd w:id="168"/>
      <w:bookmarkEnd w:id="169"/>
      <w:bookmarkEnd w:id="170"/>
      <w:bookmarkEnd w:id="171"/>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72" w:name="_Toc15203"/>
      <w:bookmarkStart w:id="173" w:name="_Toc480979020"/>
      <w:bookmarkStart w:id="174" w:name="_Toc485108798"/>
      <w:bookmarkStart w:id="175" w:name="_Toc13844"/>
      <w:bookmarkStart w:id="176" w:name="_Toc313888362"/>
      <w:bookmarkStart w:id="177" w:name="_Toc313008358"/>
      <w:bookmarkStart w:id="178"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72"/>
      <w:bookmarkEnd w:id="173"/>
      <w:bookmarkEnd w:id="174"/>
      <w:bookmarkEnd w:id="175"/>
      <w:bookmarkEnd w:id="176"/>
      <w:bookmarkEnd w:id="177"/>
      <w:bookmarkEnd w:id="178"/>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9"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9"/>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0" w:name="_Toc10896"/>
      <w:bookmarkStart w:id="181"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80"/>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2"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82"/>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83" w:name="_Toc9941"/>
      <w:bookmarkStart w:id="184"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83"/>
      <w:bookmarkEnd w:id="184"/>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81"/>
      <w:bookmarkStart w:id="185" w:name="_Toc313008359"/>
      <w:bookmarkStart w:id="186" w:name="_Toc342913422"/>
      <w:bookmarkStart w:id="187" w:name="_Toc313888363"/>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5"/>
      <w:bookmarkEnd w:id="186"/>
      <w:bookmarkEnd w:id="187"/>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8" w:name="OLE_LINK4"/>
      <w:bookmarkStart w:id="189"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8"/>
    <w:bookmarkEnd w:id="189"/>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90" w:name="_Toc31463"/>
      <w:bookmarkStart w:id="191"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90"/>
    <w:bookmarkEnd w:id="191"/>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2"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92"/>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3"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93"/>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4"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4"/>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57E16DC6-FC3A-4C32-91A8-E8F41194C6F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62A7A964-187B-4ABE-B0DD-88B3E9F530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676F3B"/>
    <w:rsid w:val="0ACB5503"/>
    <w:rsid w:val="0ACF458A"/>
    <w:rsid w:val="0B144AF7"/>
    <w:rsid w:val="0B204C66"/>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580870"/>
    <w:rsid w:val="147575C5"/>
    <w:rsid w:val="14B95EDB"/>
    <w:rsid w:val="14C6168E"/>
    <w:rsid w:val="14C6556D"/>
    <w:rsid w:val="14E12006"/>
    <w:rsid w:val="14E62A1D"/>
    <w:rsid w:val="15265D3F"/>
    <w:rsid w:val="154047C7"/>
    <w:rsid w:val="154C4C37"/>
    <w:rsid w:val="1554725E"/>
    <w:rsid w:val="15604521"/>
    <w:rsid w:val="156125ED"/>
    <w:rsid w:val="158D32E0"/>
    <w:rsid w:val="15D171CD"/>
    <w:rsid w:val="15DB103F"/>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C45BE8"/>
    <w:rsid w:val="21F2776F"/>
    <w:rsid w:val="21F678C9"/>
    <w:rsid w:val="21F94F0D"/>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5150D1"/>
    <w:rsid w:val="3AA25DEC"/>
    <w:rsid w:val="3AC648F5"/>
    <w:rsid w:val="3B0368D1"/>
    <w:rsid w:val="3B30241A"/>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C26B09"/>
    <w:rsid w:val="4AD056CA"/>
    <w:rsid w:val="4AD41B9B"/>
    <w:rsid w:val="4AED1C9D"/>
    <w:rsid w:val="4B597B89"/>
    <w:rsid w:val="4BB44415"/>
    <w:rsid w:val="4BE8259F"/>
    <w:rsid w:val="4C025EBB"/>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C21399"/>
    <w:rsid w:val="67CB3049"/>
    <w:rsid w:val="67FF2A16"/>
    <w:rsid w:val="681F70B3"/>
    <w:rsid w:val="682465CF"/>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6FD00A3F"/>
    <w:rsid w:val="703B034F"/>
    <w:rsid w:val="70783234"/>
    <w:rsid w:val="7079210E"/>
    <w:rsid w:val="70E64A50"/>
    <w:rsid w:val="710A408D"/>
    <w:rsid w:val="71231A63"/>
    <w:rsid w:val="714B6E37"/>
    <w:rsid w:val="71C72BEE"/>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11912</Words>
  <Characters>12363</Characters>
  <Lines>182</Lines>
  <Paragraphs>51</Paragraphs>
  <TotalTime>1</TotalTime>
  <ScaleCrop>false</ScaleCrop>
  <LinksUpToDate>false</LinksUpToDate>
  <CharactersWithSpaces>12561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2026-07-27T00:20:26Z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