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2026FW072</w:t>
      </w:r>
    </w:p>
    <w:p w14:paraId="2561F49F">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兴龙湖院区供水系统改造</w:t>
      </w:r>
    </w:p>
    <w:p w14:paraId="43A24339">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kern w:val="2"/>
          <w:sz w:val="44"/>
          <w:szCs w:val="44"/>
          <w:lang w:val="en-US" w:eastAsia="zh-CN" w:bidi="ar-SA"/>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sz w:val="44"/>
              <w:szCs w:val="44"/>
            </w:rPr>
          </w:pPr>
          <w:r>
            <w:rPr>
              <w:rFonts w:ascii="宋体" w:hAnsi="宋体" w:eastAsia="宋体"/>
              <w:sz w:val="44"/>
              <w:szCs w:val="44"/>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_Toc23588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第一篇  比选邀请书</w:t>
          </w:r>
          <w:r>
            <w:tab/>
          </w:r>
          <w:r>
            <w:fldChar w:fldCharType="begin"/>
          </w:r>
          <w:r>
            <w:instrText xml:space="preserve"> PAGEREF _Toc23588 \h </w:instrText>
          </w:r>
          <w:r>
            <w:fldChar w:fldCharType="separate"/>
          </w:r>
          <w:r>
            <w:t>2</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_Toc25322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第二篇 供应商须知</w:t>
          </w:r>
          <w:r>
            <w:tab/>
          </w:r>
          <w:r>
            <w:fldChar w:fldCharType="begin"/>
          </w:r>
          <w:r>
            <w:instrText xml:space="preserve"> PAGEREF _Toc25322 \h </w:instrText>
          </w:r>
          <w:r>
            <w:fldChar w:fldCharType="separate"/>
          </w:r>
          <w:r>
            <w:t>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_Toc7206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第三篇  项目服务需求</w:t>
          </w:r>
          <w:r>
            <w:tab/>
          </w:r>
          <w:r>
            <w:fldChar w:fldCharType="begin"/>
          </w:r>
          <w:r>
            <w:instrText xml:space="preserve"> PAGEREF _Toc7206 \h </w:instrText>
          </w:r>
          <w:r>
            <w:fldChar w:fldCharType="separate"/>
          </w:r>
          <w:r>
            <w:t>13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_Toc17014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第四篇  项目商务需求</w:t>
          </w:r>
          <w:r>
            <w:tab/>
          </w:r>
          <w:r>
            <w:fldChar w:fldCharType="begin"/>
          </w:r>
          <w:r>
            <w:instrText xml:space="preserve"> PAGEREF _Toc17014 \h </w:instrText>
          </w:r>
          <w:r>
            <w:fldChar w:fldCharType="separate"/>
          </w:r>
          <w:r>
            <w:t>14</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_Toc26989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第五篇  合同草案条款</w:t>
          </w:r>
          <w:r>
            <w:tab/>
          </w:r>
          <w:r>
            <w:fldChar w:fldCharType="begin"/>
          </w:r>
          <w:r>
            <w:instrText xml:space="preserve"> PAGEREF _Toc26989 \h </w:instrText>
          </w:r>
          <w:r>
            <w:fldChar w:fldCharType="separate"/>
          </w:r>
          <w:r>
            <w:t>15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_Toc14085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第六篇  响应文件格式要求</w:t>
          </w:r>
          <w:r>
            <w:tab/>
          </w:r>
          <w:r>
            <w:fldChar w:fldCharType="begin"/>
          </w:r>
          <w:r>
            <w:instrText xml:space="preserve"> PAGEREF _Toc14085 \h </w:instrText>
          </w:r>
          <w:r>
            <w:fldChar w:fldCharType="separate"/>
          </w:r>
          <w:r>
            <w:t>17</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_Toc5685 </w:instrText>
          </w:r>
          <w:r>
            <w:rPr>
              <w:rFonts w:hint="eastAsia" w:ascii="宋体" w:hAnsi="宋体" w:eastAsia="宋体" w:cs="宋体"/>
              <w:szCs w:val="28"/>
              <w:shd w:val="clear" w:color="auto" w:fill="auto"/>
            </w:rPr>
            <w:fldChar w:fldCharType="separate"/>
          </w:r>
          <w:r>
            <w:rPr>
              <w:rFonts w:hint="eastAsia" w:ascii="宋体" w:hAnsi="宋体" w:cs="宋体"/>
              <w:szCs w:val="24"/>
              <w:shd w:val="clear" w:color="auto" w:fill="auto"/>
              <w:lang w:eastAsia="zh-CN"/>
            </w:rPr>
            <w:t>（一）</w:t>
          </w:r>
          <w:r>
            <w:rPr>
              <w:rFonts w:hint="eastAsia" w:ascii="宋体" w:hAnsi="宋体" w:eastAsia="宋体" w:cs="宋体"/>
              <w:szCs w:val="24"/>
              <w:shd w:val="clear" w:color="auto" w:fill="auto"/>
            </w:rPr>
            <w:t>其他应提供的资料</w:t>
          </w:r>
          <w:r>
            <w:tab/>
          </w:r>
          <w:r>
            <w:fldChar w:fldCharType="begin"/>
          </w:r>
          <w:r>
            <w:instrText xml:space="preserve"> PAGEREF _Toc5685 \h </w:instrText>
          </w:r>
          <w:r>
            <w:fldChar w:fldCharType="separate"/>
          </w:r>
          <w:r>
            <w:t>18</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_Toc12908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（二）</w:t>
          </w:r>
          <w:r>
            <w:rPr>
              <w:rFonts w:hint="eastAsia" w:ascii="宋体" w:hAnsi="宋体" w:eastAsia="宋体" w:cs="宋体"/>
              <w:shd w:val="clear" w:color="auto" w:fill="auto"/>
            </w:rPr>
            <w:t>服务部分</w:t>
          </w:r>
          <w:r>
            <w:tab/>
          </w:r>
          <w:r>
            <w:fldChar w:fldCharType="begin"/>
          </w:r>
          <w:r>
            <w:instrText xml:space="preserve"> PAGEREF _Toc12908 \h </w:instrText>
          </w:r>
          <w:r>
            <w:fldChar w:fldCharType="separate"/>
          </w:r>
          <w:r>
            <w:t>21</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_Toc15203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（三）</w:t>
          </w:r>
          <w:r>
            <w:rPr>
              <w:rFonts w:hint="eastAsia" w:ascii="宋体" w:hAnsi="宋体" w:eastAsia="宋体" w:cs="宋体"/>
              <w:shd w:val="clear" w:color="auto" w:fill="auto"/>
            </w:rPr>
            <w:t>商务部分</w:t>
          </w:r>
          <w:r>
            <w:tab/>
          </w:r>
          <w:r>
            <w:fldChar w:fldCharType="begin"/>
          </w:r>
          <w:r>
            <w:instrText xml:space="preserve"> PAGEREF _Toc15203 \h </w:instrText>
          </w:r>
          <w:r>
            <w:fldChar w:fldCharType="separate"/>
          </w:r>
          <w:r>
            <w:t>23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_Toc9941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（四）</w:t>
          </w:r>
          <w:r>
            <w:rPr>
              <w:rFonts w:hint="eastAsia" w:ascii="宋体" w:hAnsi="宋体" w:eastAsia="宋体" w:cs="宋体"/>
              <w:shd w:val="clear" w:color="auto" w:fill="auto"/>
            </w:rPr>
            <w:t>资格条件及其他</w:t>
          </w:r>
          <w:r>
            <w:tab/>
          </w:r>
          <w:r>
            <w:fldChar w:fldCharType="begin"/>
          </w:r>
          <w:r>
            <w:instrText xml:space="preserve"> PAGEREF _Toc9941 \h </w:instrText>
          </w:r>
          <w:r>
            <w:fldChar w:fldCharType="separate"/>
          </w:r>
          <w:r>
            <w:t>26</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3"/>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485108766"/>
      <w:bookmarkStart w:id="2" w:name="_Toc6921"/>
      <w:bookmarkStart w:id="3" w:name="_Toc11641050"/>
      <w:bookmarkStart w:id="4" w:name="_Toc23588"/>
      <w:bookmarkStart w:id="5" w:name="_Toc25875"/>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重医附属永川医院兴龙湖院区供水系统改造</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485108767"/>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03E3C6B">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重医附属永川医院兴龙湖院区供水系统改造</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：自筹资金,项目预算：10.46万元。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31E0D82">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具备有效的三证合一营业执照，具备建筑机电安装工程三级或以上资质，具备有效的安全生产许可证。</w:t>
      </w:r>
      <w:bookmarkStart w:id="189" w:name="_GoBack"/>
      <w:bookmarkEnd w:id="189"/>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重庆市永川区</w:t>
      </w:r>
      <w:r>
        <w:rPr>
          <w:rFonts w:hint="eastAsia" w:ascii="宋体" w:hAnsi="宋体" w:eastAsia="宋体" w:cs="宋体"/>
          <w:b/>
          <w:bCs/>
          <w:color w:val="000000" w:themeColor="text1"/>
          <w:sz w:val="24"/>
          <w:szCs w:val="24"/>
          <w:u w:val="single"/>
          <w:shd w:val="clear" w:color="auto" w:fill="auto"/>
          <w:lang w:val="en-US" w:eastAsia="zh-CN"/>
          <w14:textFill>
            <w14:solidFill>
              <w14:schemeClr w14:val="tx1"/>
            </w14:solidFill>
          </w14:textFill>
        </w:rPr>
        <w:t>人民大道859号全科楼21楼采购</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老师:023-853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采购办公室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、按时递交了响应文件（重庆医科大学附属永川医院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全科楼21</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楼会议室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全科楼21</w:t>
      </w:r>
      <w:r>
        <w:rPr>
          <w:rFonts w:hint="eastAsia" w:ascii="宋体" w:hAnsi="宋体" w:eastAsia="宋体" w:cs="宋体"/>
          <w:color w:val="000000" w:themeColor="text1"/>
          <w:sz w:val="24"/>
          <w:szCs w:val="24"/>
          <w:shd w:val="clear" w:color="auto" w:fill="auto"/>
          <w14:textFill>
            <w14:solidFill>
              <w14:schemeClr w14:val="tx1"/>
            </w14:solidFill>
          </w14:textFill>
        </w:rPr>
        <w:t>楼会议室（地址：</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重庆市永川区</w:t>
      </w:r>
      <w:r>
        <w:rPr>
          <w:rFonts w:hint="eastAsia" w:ascii="宋体" w:hAnsi="宋体" w:eastAsia="宋体" w:cs="宋体"/>
          <w:b/>
          <w:bCs/>
          <w:color w:val="000000" w:themeColor="text1"/>
          <w:sz w:val="24"/>
          <w:szCs w:val="24"/>
          <w:u w:val="single"/>
          <w:shd w:val="clear" w:color="auto" w:fill="auto"/>
          <w:lang w:val="en-US" w:eastAsia="zh-CN"/>
          <w14:textFill>
            <w14:solidFill>
              <w14:schemeClr w14:val="tx1"/>
            </w14:solidFill>
          </w14:textFill>
        </w:rPr>
        <w:t>人民大道859号</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4"/>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4"/>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4"/>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 重庆市永川区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人民大道859号</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3"/>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4"/>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4"/>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536191D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本项目为总价包干，报价包含设备、材料、运输、装卸、二次搬运、安装、调试、人工、辅材、税费、现场清理、质保服务等全部费用，采购人不再额外支付任何费用。</w:t>
      </w:r>
    </w:p>
    <w:p w14:paraId="36D667A8">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供应商须按照（附件）报价表逐项填报，列明材料、设备名称、规格型号、数量、单价、合价、总价等内容，缺项、漏项视为包含在总报价内</w:t>
      </w:r>
      <w:r>
        <w:rPr>
          <w:rFonts w:hint="eastAsia" w:ascii="宋体" w:hAnsi="宋体" w:eastAsia="宋体" w:cs="宋体"/>
          <w:color w:val="FF0000"/>
          <w:sz w:val="24"/>
          <w:szCs w:val="24"/>
          <w:shd w:val="clear" w:color="auto" w:fill="auto"/>
          <w:lang w:val="en-US" w:eastAsia="zh-CN"/>
        </w:rPr>
        <w:t>。</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恶意低价、明显低于市场成本价的报价作无效报价处理</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3"/>
      <w:bookmarkStart w:id="38" w:name="OLE_LINK9"/>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342913393"/>
      <w:bookmarkStart w:id="41" w:name="_Toc18122"/>
      <w:bookmarkStart w:id="42" w:name="_Toc102227319"/>
      <w:bookmarkStart w:id="43" w:name="_Toc403569780"/>
      <w:bookmarkStart w:id="44" w:name="_Toc179714298"/>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7135"/>
      <w:bookmarkStart w:id="56" w:name="_Toc102227321"/>
      <w:bookmarkStart w:id="57" w:name="_Toc3212"/>
      <w:bookmarkStart w:id="58"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2880"/>
      <w:bookmarkStart w:id="60" w:name="_Toc17413"/>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403569785"/>
      <w:bookmarkStart w:id="64" w:name="_Toc342913396"/>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485108784"/>
      <w:bookmarkStart w:id="68" w:name="_Toc11770"/>
    </w:p>
    <w:p w14:paraId="0DB0EA24">
      <w:pPr>
        <w:pStyle w:val="3"/>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28327"/>
      <w:bookmarkStart w:id="73" w:name="_Toc12789058"/>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52E05F9">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项目概况：兴龙湖院区门诊病房综合楼位于兴龙大道D-1地块，地上19层、地下2层，框架剪力墙结构，该楼栋采用分区供水模式，低区由市政直接供水（2层及以下），中区、高区依托负三层容积为280立方米的储水箱实现应急供水；兴龙湖院区全科楼位于兴龙大道D-1地块，地上24层、地下2层，框架剪力墙结构，该楼栋整体采用直供水加压模式，未设置应急储水设施。为保障市政管网停水状态下门诊病房综合楼低区及全科楼整体的用水需求，提升供水可靠性，拟对供水系统进行改造。</w:t>
      </w:r>
    </w:p>
    <w:p w14:paraId="786EA4E9">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2.采购范围：</w:t>
      </w:r>
    </w:p>
    <w:p w14:paraId="7BD0B661">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①本次改造包括门诊病房综合楼低区供水系统、全科楼供水系统两个部分；</w:t>
      </w:r>
    </w:p>
    <w:p w14:paraId="0211B493">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②门诊病房综合楼低区：不改变原有供水模式，依托现有 280 立方米储水箱，新增专用供水管道、变频水泵、泄压阀、控制阀门及配套管件等，实现市政停水时由储水箱向低区环网进行补水，保障连续供水（具体实施方案在满足使用功能的前提下，由中标供应商进行深化，报采购人复核后实施）；</w:t>
      </w:r>
    </w:p>
    <w:p w14:paraId="009BFD78">
      <w:p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③全科楼区域：不改变原有供水模式，在负二层增设不锈钢储水箱（参考规格 3000mm*5000mm*2500mm，可结合现场实际情况调整），配套安装加压水泵、自动补水阀、各类管路阀件等，实现市政停水时可正常用水。水箱区域设置不锈钢围栏（预留检修通道）实施封闭管控（具体实施方案在满足使用功能前提下，由中标供应商进行深化，报采购人复核后实施）。</w:t>
      </w:r>
    </w:p>
    <w:p w14:paraId="28AD562F">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3.质量要求：</w:t>
      </w:r>
    </w:p>
    <w:p w14:paraId="146C851C">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符合强制性质量标准，符合国家和重庆市现行有关施工质量验收规范要求，并达到合格标准。非因采购人原因导致的质量缺陷，成交供应商应整改至合格标准，整改工作所需一切费用、时间和责任均由成交供应商自行承担，采购人不承担任何直接或间接责任。（供应商须自拟承诺）；</w:t>
      </w:r>
    </w:p>
    <w:p w14:paraId="457E9EBF">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②施工过程中应遵照现行国家有关规程规范进行施工，按照有关要求进行检查验收。成交供应商提供的所有施工设施设备和材料应有完善的质量检测手段和质量保证体系，必须符合国家标准和行业标准；</w:t>
      </w:r>
    </w:p>
    <w:p w14:paraId="0ACC1D63">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③施工前需与院方现场对接，测量水渠、管路、设备安装尺寸，严格按照现场工况施工。</w:t>
      </w:r>
    </w:p>
    <w:p w14:paraId="0D0C99F0">
      <w:pPr>
        <w:numPr>
          <w:ilvl w:val="0"/>
          <w:numId w:val="13"/>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材料要求：</w:t>
      </w:r>
    </w:p>
    <w:p w14:paraId="29D41ACC">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①工程所用材料（设备）必须符合国家规范标准及设计文件、采购文件等要求。进场前须报采购人验收合格后方能投入使用；</w:t>
      </w:r>
    </w:p>
    <w:p w14:paraId="66018567">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②所供设备和材料必须货真价实，符合环保节能要求，并提供相应合格证明资料（出厂合格证、质量证明书、出厂检验报告等）、质保书等，各项手续、文件必须真实完整有效可查；</w:t>
      </w:r>
    </w:p>
    <w:p w14:paraId="77971CCB">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严禁使用假冒伪劣产品，一经发现，该批次材料立即清退出场，并处该批次材料采购价两倍违约金，由成交供应商承担由此造成的一切损失。采购人有权进一步依据合同追究其违约责任（包括但不限于扣除履约保证金）；</w:t>
      </w:r>
    </w:p>
    <w:p w14:paraId="58D06CAC">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④所有管材、水箱、阀件、水泵等涉水设备均需符合标准，主管道、水箱、主要管件采用 304 不锈钢材质，符合医疗机构用水规范。</w:t>
      </w:r>
    </w:p>
    <w:p w14:paraId="25D5E8EF">
      <w:pPr>
        <w:numPr>
          <w:ilvl w:val="0"/>
          <w:numId w:val="13"/>
        </w:numPr>
        <w:snapToGrid w:val="0"/>
        <w:spacing w:line="400" w:lineRule="exact"/>
        <w:ind w:left="0" w:leftChars="0"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安全文明施工：</w:t>
      </w:r>
    </w:p>
    <w:p w14:paraId="153679DA">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成交供应商应遵守安全生产的有关管理规定，严格按照安全标准组织实施，建立安全生产体系，采取必要的安全防护措施，消除隐患。在施工过程中由于成交供应商管理或安全措施不力造成周边环境破坏或事故责任和因此发生的费用，由成交供应商承担；</w:t>
      </w:r>
    </w:p>
    <w:p w14:paraId="10DE5C09">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②成交供应商负责进入现场实施人员及财物安全，发生任何伤亡事故与采购人无关，成交供应商自行解决并承担相应的法律责任和财产损失。如因施工导致第三人人身、财产损失由成交供应商承担全部赔偿责任；</w:t>
      </w:r>
    </w:p>
    <w:p w14:paraId="50F58253">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③开工前须提交临时施工许可证申请，经相关部门审核通过并办理临时施工许可证后方可进行施工。为规范人员管理，施工期间，成交供应商工作人员须办理出入证明并加盖采购人公章生效使用；</w:t>
      </w:r>
    </w:p>
    <w:p w14:paraId="01DE5789">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④施工过程中，施工区域须始终保持完全封闭状态施工，除渣、运输等环节不得有粉尘污染。遇有重要接待、重要会议、重要活动时，须严格按照采购人要求暂停施工；</w:t>
      </w:r>
    </w:p>
    <w:p w14:paraId="1702757A">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⑤供应商须做到安全文明施工，做好施工噪声及扬尘控制。施工噪音执行《建筑施工场界环境噪声排放标准》（GB 12523-2011），昼间≤70dB，夜间≤55dB。高噪音作业（如混凝土浇筑、切割等）应尽量安排在昼间进行，不得影响采购人正常办公或诊疗。</w:t>
      </w:r>
    </w:p>
    <w:p w14:paraId="056F45DA">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6.本项目完工后需做好各项售后服务。</w:t>
      </w:r>
    </w:p>
    <w:p w14:paraId="546D4D95">
      <w:pPr>
        <w:snapToGrid w:val="0"/>
        <w:spacing w:line="400" w:lineRule="exact"/>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DCBF3">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2D405A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0950F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17014"/>
      <w:bookmarkStart w:id="75" w:name="_Toc436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4"/>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7358"/>
      <w:bookmarkStart w:id="80" w:name="_Toc485108793"/>
      <w:bookmarkStart w:id="81"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5DE03640">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1.质保期及售后服务：</w:t>
      </w:r>
    </w:p>
    <w:p w14:paraId="00BDFD4B">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①不少于2年，质保期内非人为损坏的设备、管路、配件故障，由成交供应商免费维修、更换；</w:t>
      </w:r>
    </w:p>
    <w:p w14:paraId="04F03CAE">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②售后维修响应时间不超过2小时。</w:t>
      </w:r>
    </w:p>
    <w:p w14:paraId="7517BE2F">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2.工期：施工工期30日历天，自院内施工许可审批完成、进场之日起计算。成交供应商需合理排布工序，分时段作业，最大限度降低对医院正常诊疗、用水的影响。</w:t>
      </w:r>
    </w:p>
    <w:p w14:paraId="4B3976FB">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3.施工安装要求：施工前需由采购方向医院申请院内施工安全许可办理，取得施工许可后方可施工。如需动火动焊需取得医院管理审批手续。</w:t>
      </w:r>
    </w:p>
    <w:p w14:paraId="507DE96D">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报价方式：本项目为总价包干，报价包含设备、材料、运输、装卸、二次搬运、安装、调试、人工、辅材、税费、现场清理、质保服务等全部费用，采购人不再额外支付任何费用。供应商须按照（附件）报价表逐项填报，列明材料、设备名称、规格型号、数量、单价、合价、总价等内容，缺项、漏项视为包含在总报价内。参选供应商根据2018年《重庆市房屋建筑与装饰工程计价定额》《重庆市通用安装工程计价定额》《重庆市房屋修缮工程计价定额》及相关配套文件自主报价。参选供应商应充分考虑完成本工程的各种因素且必须满足采购人的使用要求，参选供应商需自行前往场地勘察，因供应商自身原因造成漏报、少报皆由供应商自行承担，采购方不再补偿。</w:t>
      </w:r>
    </w:p>
    <w:p w14:paraId="7DCA544B">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验收方式：施工完成后，双方共同开展系统通水测试，确保其能正常使用。分别验证正常供水、市政停水应急供水两种工况。管路无渗漏，控制阀门、变频系统、自动补水装置动作灵敏，围栏、配套设施安装牢固。施工垃圾、废旧物料已全部清理完毕。</w:t>
      </w:r>
    </w:p>
    <w:p w14:paraId="740E6503">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6.付款方式：项目安装调试完成、验收合格后，成交供应商提供合法有效发票，经采购方审核后 30日内支付至合同总价的97%，剩余3%在质保期满后无息退还。</w:t>
      </w:r>
    </w:p>
    <w:p w14:paraId="5235ADB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3"/>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14840"/>
      <w:bookmarkStart w:id="84" w:name="_Toc26989"/>
      <w:bookmarkStart w:id="85" w:name="_Toc15711"/>
      <w:bookmarkStart w:id="86" w:name="_Toc485108794"/>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30815"/>
      <w:bookmarkStart w:id="90"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26580"/>
      <w:bookmarkStart w:id="124"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3"/>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29521"/>
      <w:bookmarkStart w:id="136" w:name="_Toc13696"/>
      <w:bookmarkStart w:id="137" w:name="_Toc12789072"/>
      <w:bookmarkStart w:id="138" w:name="_Toc14085"/>
      <w:bookmarkStart w:id="139" w:name="_Toc48510879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4"/>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21293"/>
      <w:bookmarkStart w:id="149" w:name="_Toc19884"/>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4"/>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480979018"/>
      <w:bookmarkStart w:id="152" w:name="_Toc313888360"/>
      <w:bookmarkStart w:id="153" w:name="_Toc313008356"/>
      <w:bookmarkStart w:id="154" w:name="_Toc5565"/>
      <w:bookmarkStart w:id="155" w:name="_Toc342913419"/>
      <w:bookmarkStart w:id="156" w:name="_Toc485108796"/>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0899CE13">
      <w:pPr>
        <w:tabs>
          <w:tab w:val="left" w:pos="1134"/>
        </w:tabs>
        <w:jc w:val="center"/>
        <w:rPr>
          <w:rFonts w:ascii="黑体" w:hAnsi="黑体" w:eastAsia="黑体"/>
          <w:sz w:val="32"/>
          <w:szCs w:val="32"/>
        </w:rPr>
      </w:pPr>
      <w:bookmarkStart w:id="159" w:name="_Toc480979019"/>
      <w:bookmarkStart w:id="160" w:name="_Toc313008357"/>
      <w:bookmarkStart w:id="161" w:name="_Toc485108797"/>
      <w:bookmarkStart w:id="162" w:name="_Toc342913420"/>
      <w:bookmarkStart w:id="163" w:name="_Toc313888361"/>
      <w:r>
        <w:rPr>
          <w:rFonts w:hint="eastAsia" w:ascii="黑体" w:hAnsi="黑体" w:eastAsia="黑体"/>
          <w:sz w:val="32"/>
          <w:szCs w:val="32"/>
        </w:rPr>
        <w:t>报 价 表</w:t>
      </w:r>
    </w:p>
    <w:tbl>
      <w:tblPr>
        <w:tblStyle w:val="58"/>
        <w:tblW w:w="9601"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12"/>
        <w:gridCol w:w="1247"/>
        <w:gridCol w:w="1173"/>
        <w:gridCol w:w="1202"/>
        <w:gridCol w:w="778"/>
        <w:gridCol w:w="1029"/>
        <w:gridCol w:w="1417"/>
        <w:gridCol w:w="1134"/>
        <w:gridCol w:w="909"/>
      </w:tblGrid>
      <w:tr w14:paraId="114823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613" w:hRule="atLeast"/>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9E81A1">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A594A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val="en-US" w:eastAsia="zh-CN"/>
              </w:rPr>
              <w:t>材料/设备</w:t>
            </w:r>
            <w:r>
              <w:rPr>
                <w:rFonts w:hint="eastAsia" w:ascii="方正仿宋_GBK" w:hAnsi="方正仿宋_GBK" w:eastAsia="方正仿宋_GBK" w:cs="方正仿宋_GBK"/>
                <w:color w:val="auto"/>
                <w:sz w:val="24"/>
                <w:szCs w:val="24"/>
              </w:rPr>
              <w:t>名称</w:t>
            </w: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EC622D">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规格型号</w:t>
            </w: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DE64E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生产厂家</w:t>
            </w: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89D5A9">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w:t>
            </w: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6EEB95">
            <w:pPr>
              <w:spacing w:before="120" w:after="120" w:line="288" w:lineRule="auto"/>
              <w:ind w:left="0"/>
              <w:jc w:val="center"/>
              <w:rPr>
                <w:rFonts w:hint="eastAsia" w:ascii="方正仿宋_GBK" w:hAnsi="方正仿宋_GBK" w:eastAsia="方正仿宋_GBK" w:cs="方正仿宋_GBK"/>
                <w:color w:val="0000FF"/>
                <w:sz w:val="24"/>
                <w:szCs w:val="24"/>
                <w:lang w:eastAsia="zh-CN"/>
              </w:rPr>
            </w:pPr>
            <w:r>
              <w:rPr>
                <w:rFonts w:hint="eastAsia" w:ascii="方正仿宋_GBK" w:hAnsi="方正仿宋_GBK" w:eastAsia="方正仿宋_GBK" w:cs="方正仿宋_GBK"/>
                <w:color w:val="auto"/>
                <w:sz w:val="24"/>
                <w:szCs w:val="24"/>
                <w:lang w:val="en-US" w:eastAsia="zh-CN"/>
              </w:rPr>
              <w:t>数量</w:t>
            </w: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D924A5">
            <w:pPr>
              <w:spacing w:before="120" w:after="120" w:line="288" w:lineRule="auto"/>
              <w:ind w:left="0"/>
              <w:jc w:val="center"/>
              <w:rPr>
                <w:rFonts w:hint="eastAsia" w:ascii="方正仿宋_GBK" w:hAnsi="方正仿宋_GBK" w:eastAsia="方正仿宋_GBK" w:cs="方正仿宋_GBK"/>
                <w:color w:val="0000FF"/>
                <w:sz w:val="24"/>
                <w:szCs w:val="24"/>
                <w:lang w:val="en-US" w:eastAsia="zh-CN"/>
              </w:rPr>
            </w:pPr>
            <w:r>
              <w:rPr>
                <w:rFonts w:hint="eastAsia" w:ascii="方正仿宋_GBK" w:hAnsi="方正仿宋_GBK" w:eastAsia="方正仿宋_GBK" w:cs="方正仿宋_GBK"/>
                <w:color w:val="auto"/>
                <w:sz w:val="24"/>
                <w:szCs w:val="24"/>
                <w:lang w:val="en-US" w:eastAsia="zh-CN"/>
              </w:rPr>
              <w:t>综合</w:t>
            </w:r>
            <w:r>
              <w:rPr>
                <w:rFonts w:hint="eastAsia" w:ascii="方正仿宋_GBK" w:hAnsi="方正仿宋_GBK" w:eastAsia="方正仿宋_GBK" w:cs="方正仿宋_GBK"/>
                <w:color w:val="auto"/>
                <w:sz w:val="24"/>
                <w:szCs w:val="24"/>
              </w:rPr>
              <w:t>单价</w:t>
            </w:r>
            <w:r>
              <w:rPr>
                <w:rFonts w:hint="eastAsia" w:ascii="方正仿宋_GBK" w:hAnsi="方正仿宋_GBK" w:eastAsia="方正仿宋_GBK" w:cs="方正仿宋_GBK"/>
                <w:color w:val="auto"/>
                <w:sz w:val="24"/>
                <w:szCs w:val="24"/>
                <w:lang w:val="en-US" w:eastAsia="zh-CN"/>
              </w:rPr>
              <w:t>(</w:t>
            </w:r>
            <w:r>
              <w:rPr>
                <w:rFonts w:hint="eastAsia" w:ascii="方正仿宋_GBK" w:hAnsi="方正仿宋_GBK" w:eastAsia="方正仿宋_GBK" w:cs="方正仿宋_GBK"/>
                <w:color w:val="auto"/>
                <w:sz w:val="24"/>
                <w:szCs w:val="24"/>
              </w:rPr>
              <w:t>元</w:t>
            </w:r>
            <w:r>
              <w:rPr>
                <w:rFonts w:hint="eastAsia" w:ascii="方正仿宋_GBK" w:hAnsi="方正仿宋_GBK" w:eastAsia="方正仿宋_GBK" w:cs="方正仿宋_GBK"/>
                <w:color w:val="auto"/>
                <w:sz w:val="24"/>
                <w:szCs w:val="24"/>
                <w:lang w:val="en-US" w:eastAsia="zh-CN"/>
              </w:rPr>
              <w:t>)</w:t>
            </w: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A0E1AB">
            <w:pPr>
              <w:spacing w:before="120" w:after="120" w:line="288" w:lineRule="auto"/>
              <w:ind w:left="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合价(</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lang w:val="en-US" w:eastAsia="zh-CN"/>
              </w:rPr>
              <w:t>)</w:t>
            </w:r>
          </w:p>
        </w:tc>
        <w:tc>
          <w:tcPr>
            <w:tcW w:w="9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EBE1F6">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r w14:paraId="127BD54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E85B85">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24B426">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36123A">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566223">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C37B69">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76CBB4">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362EC16">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57B400">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restart"/>
            <w:tcBorders>
              <w:top w:val="single" w:color="auto" w:sz="4" w:space="0"/>
              <w:left w:val="single" w:color="auto" w:sz="4" w:space="0"/>
              <w:right w:val="single" w:color="auto" w:sz="4" w:space="0"/>
            </w:tcBorders>
            <w:tcMar>
              <w:top w:w="60" w:type="dxa"/>
              <w:left w:w="120" w:type="dxa"/>
              <w:bottom w:w="30" w:type="dxa"/>
              <w:right w:w="120" w:type="dxa"/>
            </w:tcMar>
            <w:vAlign w:val="center"/>
          </w:tcPr>
          <w:p w14:paraId="4CDE3A6E">
            <w:pPr>
              <w:spacing w:before="120" w:after="120" w:line="288" w:lineRule="auto"/>
              <w:ind w:left="0"/>
              <w:jc w:val="center"/>
              <w:rPr>
                <w:rFonts w:hint="eastAsia" w:ascii="方正仿宋_GBK" w:hAnsi="方正仿宋_GBK" w:eastAsia="方正仿宋_GBK" w:cs="方正仿宋_GBK"/>
                <w:sz w:val="24"/>
                <w:szCs w:val="24"/>
              </w:rPr>
            </w:pPr>
          </w:p>
        </w:tc>
      </w:tr>
      <w:tr w14:paraId="59C0EF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BA06D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247CA6">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4275FD">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E1AFDB">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FC03709">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B46661">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FD781E">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AE60F63">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28824DDD">
            <w:pPr>
              <w:spacing w:before="120" w:after="120" w:line="288" w:lineRule="auto"/>
              <w:ind w:left="0"/>
              <w:jc w:val="center"/>
              <w:rPr>
                <w:rFonts w:hint="eastAsia" w:ascii="方正仿宋_GBK" w:hAnsi="方正仿宋_GBK" w:eastAsia="方正仿宋_GBK" w:cs="方正仿宋_GBK"/>
                <w:sz w:val="24"/>
                <w:szCs w:val="24"/>
              </w:rPr>
            </w:pPr>
          </w:p>
        </w:tc>
      </w:tr>
      <w:tr w14:paraId="48DA5F2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44744E">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B5E81A">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E6060A">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49D330">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486F4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53E2A3">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A1A679">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CFDE32">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228AED61">
            <w:pPr>
              <w:spacing w:before="120" w:after="120" w:line="288" w:lineRule="auto"/>
              <w:ind w:left="0"/>
              <w:jc w:val="center"/>
              <w:rPr>
                <w:rFonts w:hint="eastAsia" w:ascii="方正仿宋_GBK" w:hAnsi="方正仿宋_GBK" w:eastAsia="方正仿宋_GBK" w:cs="方正仿宋_GBK"/>
                <w:sz w:val="24"/>
                <w:szCs w:val="24"/>
              </w:rPr>
            </w:pPr>
          </w:p>
        </w:tc>
      </w:tr>
      <w:tr w14:paraId="336FE5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E17A7F">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ED9512">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327E8D">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961D94">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C2509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5ADD78">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4DA35D">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1DFC82">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61431253">
            <w:pPr>
              <w:spacing w:before="120" w:after="120" w:line="288" w:lineRule="auto"/>
              <w:ind w:left="0"/>
              <w:jc w:val="center"/>
              <w:rPr>
                <w:rFonts w:hint="eastAsia" w:ascii="方正仿宋_GBK" w:hAnsi="方正仿宋_GBK" w:eastAsia="方正仿宋_GBK" w:cs="方正仿宋_GBK"/>
                <w:sz w:val="24"/>
                <w:szCs w:val="24"/>
              </w:rPr>
            </w:pPr>
          </w:p>
        </w:tc>
      </w:tr>
      <w:tr w14:paraId="1697FBA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74ACAA">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9AAF3A">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04ADFF">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AF5A93">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B5AA5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5C9672">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FD4541">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B3587B">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bottom w:val="single" w:color="auto" w:sz="4" w:space="0"/>
              <w:right w:val="single" w:color="auto" w:sz="4" w:space="0"/>
            </w:tcBorders>
            <w:tcMar>
              <w:top w:w="60" w:type="dxa"/>
              <w:left w:w="120" w:type="dxa"/>
              <w:bottom w:w="30" w:type="dxa"/>
              <w:right w:w="120" w:type="dxa"/>
            </w:tcMar>
            <w:vAlign w:val="center"/>
          </w:tcPr>
          <w:p w14:paraId="33A3D856">
            <w:pPr>
              <w:spacing w:before="120" w:after="120" w:line="288" w:lineRule="auto"/>
              <w:ind w:left="0"/>
              <w:jc w:val="center"/>
              <w:rPr>
                <w:rFonts w:hint="eastAsia" w:ascii="方正仿宋_GBK" w:hAnsi="方正仿宋_GBK" w:eastAsia="方正仿宋_GBK" w:cs="方正仿宋_GBK"/>
                <w:sz w:val="24"/>
                <w:szCs w:val="24"/>
              </w:rPr>
            </w:pPr>
          </w:p>
        </w:tc>
      </w:tr>
      <w:tr w14:paraId="6CE707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59" w:type="dxa"/>
            <w:gridSpan w:val="2"/>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1E7D03">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总价（元）</w:t>
            </w:r>
          </w:p>
        </w:tc>
        <w:tc>
          <w:tcPr>
            <w:tcW w:w="7642" w:type="dxa"/>
            <w:gridSpan w:val="7"/>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8C64EA">
            <w:pPr>
              <w:spacing w:before="120" w:after="120" w:line="288" w:lineRule="auto"/>
              <w:ind w:left="0"/>
              <w:jc w:val="center"/>
              <w:rPr>
                <w:rFonts w:hint="eastAsia" w:ascii="方正仿宋_GBK" w:hAnsi="方正仿宋_GBK" w:eastAsia="方正仿宋_GBK" w:cs="方正仿宋_GBK"/>
                <w:sz w:val="24"/>
                <w:szCs w:val="24"/>
              </w:rPr>
            </w:pPr>
          </w:p>
        </w:tc>
      </w:tr>
    </w:tbl>
    <w:p w14:paraId="46420D74">
      <w:pPr>
        <w:spacing w:line="360" w:lineRule="auto"/>
        <w:rPr>
          <w:rFonts w:hint="eastAsia" w:ascii="仿宋" w:hAnsi="仿宋" w:eastAsia="仿宋"/>
          <w:b/>
          <w:bCs/>
          <w:sz w:val="32"/>
          <w:szCs w:val="32"/>
        </w:rPr>
      </w:pPr>
      <w:r>
        <w:rPr>
          <w:rFonts w:hint="eastAsia" w:ascii="宋体" w:hAnsi="宋体"/>
          <w:sz w:val="28"/>
          <w:szCs w:val="28"/>
        </w:rPr>
        <w:t>备注：</w:t>
      </w:r>
      <w:r>
        <w:rPr>
          <w:rFonts w:hint="eastAsia" w:ascii="宋体" w:hAnsi="宋体"/>
          <w:sz w:val="28"/>
          <w:szCs w:val="28"/>
          <w:lang w:val="en-US" w:eastAsia="zh-CN"/>
        </w:rPr>
        <w:t>综合单价包括设备、材料、运输、装卸、二次搬运、安装、调试、人工、辅材、税费、现场清理、质保服务等全部费用，采购人不再额外支付任何费用，缺项、漏项视为包含在总报价内</w:t>
      </w:r>
      <w:r>
        <w:rPr>
          <w:rFonts w:hint="eastAsia" w:ascii="宋体" w:hAnsi="宋体"/>
          <w:sz w:val="28"/>
          <w:szCs w:val="28"/>
        </w:rPr>
        <w:t>。</w:t>
      </w:r>
    </w:p>
    <w:p w14:paraId="33617F0C">
      <w:pPr>
        <w:rPr>
          <w:rFonts w:hint="eastAsia" w:ascii="宋体" w:hAnsi="宋体" w:eastAsia="宋体" w:cs="宋体"/>
          <w:color w:val="FF0000"/>
          <w:kern w:val="2"/>
          <w:sz w:val="21"/>
          <w:szCs w:val="21"/>
          <w:shd w:val="clear" w:color="auto" w:fill="auto"/>
          <w:lang w:val="en-US" w:eastAsia="zh-CN" w:bidi="ar-SA"/>
        </w:rPr>
      </w:pPr>
    </w:p>
    <w:p w14:paraId="715F5277">
      <w:pPr>
        <w:pStyle w:val="22"/>
        <w:rPr>
          <w:rFonts w:hint="eastAsia" w:ascii="宋体" w:hAnsi="宋体" w:eastAsia="宋体" w:cs="宋体"/>
          <w:color w:val="FF0000"/>
          <w:sz w:val="24"/>
          <w:szCs w:val="24"/>
          <w:shd w:val="clear" w:color="auto" w:fill="auto"/>
          <w:lang w:val="en-US" w:eastAsia="zh-CN"/>
        </w:rPr>
      </w:pPr>
    </w:p>
    <w:p w14:paraId="5DAAEC05">
      <w:pPr>
        <w:pStyle w:val="22"/>
        <w:ind w:firstLine="11480" w:firstLineChars="4100"/>
        <w:rPr>
          <w:rFonts w:hint="eastAsia" w:ascii="宋体" w:hAnsi="宋体" w:eastAsia="宋体" w:cs="宋体"/>
          <w:color w:val="FF0000"/>
          <w:sz w:val="28"/>
          <w:szCs w:val="28"/>
          <w:shd w:val="clear" w:color="auto" w:fill="auto"/>
          <w:lang w:val="en-US" w:eastAsia="zh-CN"/>
        </w:rPr>
      </w:pPr>
    </w:p>
    <w:p w14:paraId="26BD9500">
      <w:pPr>
        <w:pStyle w:val="22"/>
        <w:ind w:firstLine="11480" w:firstLineChars="4100"/>
        <w:rPr>
          <w:rFonts w:hint="eastAsia" w:ascii="宋体" w:hAnsi="宋体" w:eastAsia="宋体" w:cs="宋体"/>
          <w:color w:val="FF0000"/>
          <w:sz w:val="28"/>
          <w:szCs w:val="28"/>
          <w:shd w:val="clear" w:color="auto" w:fill="auto"/>
          <w:lang w:val="en-US" w:eastAsia="zh-CN"/>
        </w:rPr>
      </w:pPr>
    </w:p>
    <w:p w14:paraId="77211045">
      <w:pPr>
        <w:pStyle w:val="22"/>
        <w:ind w:left="6983" w:leftChars="3325" w:firstLine="4480" w:firstLineChars="16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 xml:space="preserve"> 参选供应商公章</w:t>
      </w:r>
    </w:p>
    <w:p w14:paraId="12F53D94">
      <w:pPr>
        <w:pStyle w:val="22"/>
        <w:ind w:left="7262" w:leftChars="3458" w:firstLine="3920" w:firstLineChars="1400"/>
        <w:rPr>
          <w:rFonts w:hint="eastAsia" w:ascii="宋体" w:hAnsi="宋体" w:eastAsia="宋体" w:cs="宋体"/>
          <w:b/>
          <w:color w:val="000000" w:themeColor="text1"/>
          <w:shd w:val="clear" w:color="auto" w:fill="auto"/>
          <w:lang w:eastAsia="zh-CN"/>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FF0000"/>
          <w:sz w:val="28"/>
          <w:szCs w:val="28"/>
          <w:shd w:val="clear" w:color="auto" w:fill="auto"/>
          <w:lang w:val="en-US" w:eastAsia="zh-CN"/>
        </w:rPr>
        <w:t>年年   月  日</w:t>
      </w: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lang w:eastAsia="zh-CN"/>
          <w14:textFill>
            <w14:solidFill>
              <w14:schemeClr w14:val="tx1"/>
            </w14:solidFill>
          </w14:textFill>
        </w:rPr>
        <w:tab/>
      </w:r>
      <w:bookmarkStart w:id="164" w:name="_Toc9883"/>
      <w:bookmarkStart w:id="165" w:name="_Toc12908"/>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15203"/>
      <w:bookmarkStart w:id="167" w:name="_Toc313008358"/>
      <w:bookmarkStart w:id="168" w:name="_Toc342913421"/>
      <w:bookmarkStart w:id="169" w:name="_Toc13844"/>
      <w:bookmarkStart w:id="170" w:name="_Toc313888362"/>
      <w:bookmarkStart w:id="171" w:name="_Toc485108798"/>
      <w:bookmarkStart w:id="172" w:name="_Toc480979020"/>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1"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7"/>
      <w:bookmarkStart w:id="183" w:name="OLE_LINK4"/>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szCs w:val="24"/>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2EE75C-1D42-49EC-B046-EEDB96FE5D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1B438EE5-08B6-4114-82A9-8521E8256439}"/>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B0C59849-7864-4D11-9197-33D3464116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01BF">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DA0E7"/>
    <w:multiLevelType w:val="singleLevel"/>
    <w:tmpl w:val="831DA0E7"/>
    <w:lvl w:ilvl="0" w:tentative="0">
      <w:start w:val="4"/>
      <w:numFmt w:val="decimal"/>
      <w:lvlText w:val="%1."/>
      <w:lvlJc w:val="left"/>
      <w:pPr>
        <w:tabs>
          <w:tab w:val="left" w:pos="312"/>
        </w:tabs>
      </w:pPr>
    </w:lvl>
  </w:abstractNum>
  <w:abstractNum w:abstractNumId="1">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
  </w:num>
  <w:num w:numId="3">
    <w:abstractNumId w:val="10"/>
  </w:num>
  <w:num w:numId="4">
    <w:abstractNumId w:val="7"/>
  </w:num>
  <w:num w:numId="5">
    <w:abstractNumId w:val="6"/>
  </w:num>
  <w:num w:numId="6">
    <w:abstractNumId w:val="2"/>
  </w:num>
  <w:num w:numId="7">
    <w:abstractNumId w:val="8"/>
  </w:num>
  <w:num w:numId="8">
    <w:abstractNumId w:val="1"/>
  </w:num>
  <w:num w:numId="9">
    <w:abstractNumId w:val="3"/>
  </w:num>
  <w:num w:numId="10">
    <w:abstractNumId w:val="12"/>
  </w:num>
  <w:num w:numId="11">
    <w:abstractNumId w:val="5"/>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4903E8"/>
    <w:rsid w:val="0DC167EC"/>
    <w:rsid w:val="0E0E625A"/>
    <w:rsid w:val="0E38674E"/>
    <w:rsid w:val="0E4D3D6E"/>
    <w:rsid w:val="0E5721EA"/>
    <w:rsid w:val="0E5A796A"/>
    <w:rsid w:val="0E5B5064"/>
    <w:rsid w:val="0E5B6625"/>
    <w:rsid w:val="0E9859A3"/>
    <w:rsid w:val="0E987B2D"/>
    <w:rsid w:val="0ECE4584"/>
    <w:rsid w:val="0EF1138E"/>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65822"/>
    <w:rsid w:val="18675712"/>
    <w:rsid w:val="188B43F5"/>
    <w:rsid w:val="18E50010"/>
    <w:rsid w:val="18F71640"/>
    <w:rsid w:val="19394057"/>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9D6466"/>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3D6BFB"/>
    <w:rsid w:val="29430470"/>
    <w:rsid w:val="29A81CF0"/>
    <w:rsid w:val="2A0812C8"/>
    <w:rsid w:val="2AAF0092"/>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C4F6F1A"/>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70DF7"/>
    <w:rsid w:val="679C27B9"/>
    <w:rsid w:val="67CB3049"/>
    <w:rsid w:val="67FF2A16"/>
    <w:rsid w:val="682465CF"/>
    <w:rsid w:val="68EA74FF"/>
    <w:rsid w:val="692145AA"/>
    <w:rsid w:val="6972525B"/>
    <w:rsid w:val="69C211FB"/>
    <w:rsid w:val="69FC5E8B"/>
    <w:rsid w:val="6A16113C"/>
    <w:rsid w:val="6A531D75"/>
    <w:rsid w:val="6AD14E1A"/>
    <w:rsid w:val="6AE1793A"/>
    <w:rsid w:val="6AF96096"/>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E64A50"/>
    <w:rsid w:val="71231A63"/>
    <w:rsid w:val="714B6E37"/>
    <w:rsid w:val="71C72BEE"/>
    <w:rsid w:val="72AA2579"/>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D162D31"/>
    <w:rsid w:val="7D3B25C7"/>
    <w:rsid w:val="7D597E6F"/>
    <w:rsid w:val="7D7D55A3"/>
    <w:rsid w:val="7DE81FDD"/>
    <w:rsid w:val="7E3C60AD"/>
    <w:rsid w:val="7EA60D98"/>
    <w:rsid w:val="7EC565EC"/>
    <w:rsid w:val="7EC63F6D"/>
    <w:rsid w:val="7EEF5417"/>
    <w:rsid w:val="7F0D3AEF"/>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4">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2">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3"/>
    <w:autoRedefine/>
    <w:qFormat/>
    <w:uiPriority w:val="0"/>
    <w:rPr>
      <w:rFonts w:ascii="宋体" w:hAnsi="Times New Roman" w:eastAsia="宋体" w:cs="Times New Roman"/>
      <w:sz w:val="28"/>
      <w:szCs w:val="20"/>
    </w:rPr>
  </w:style>
  <w:style w:type="character" w:customStyle="1" w:styleId="70">
    <w:name w:val="标题 2 Char"/>
    <w:basedOn w:val="60"/>
    <w:link w:val="4"/>
    <w:autoRedefine/>
    <w:qFormat/>
    <w:uiPriority w:val="0"/>
    <w:rPr>
      <w:rFonts w:ascii="Arial" w:hAnsi="Arial" w:eastAsia="黑体" w:cs="Times New Roman"/>
      <w:b/>
      <w:sz w:val="32"/>
      <w:szCs w:val="20"/>
    </w:rPr>
  </w:style>
  <w:style w:type="character" w:customStyle="1" w:styleId="71">
    <w:name w:val="标题 3 Char"/>
    <w:basedOn w:val="60"/>
    <w:link w:val="2"/>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4"/>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2"/>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3"/>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3"/>
    <w:next w:val="3"/>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4"/>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2"/>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3"/>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14277</Words>
  <Characters>14601</Characters>
  <Lines>182</Lines>
  <Paragraphs>51</Paragraphs>
  <TotalTime>1</TotalTime>
  <ScaleCrop>false</ScaleCrop>
  <LinksUpToDate>false</LinksUpToDate>
  <CharactersWithSpaces>15598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2026-07-27T00:53:29Z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