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2F7FBCC">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2026FW077</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信息中心等保测评服务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七月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2789052"/>
      <w:bookmarkStart w:id="1" w:name="_Toc485108766"/>
      <w:bookmarkStart w:id="2" w:name="_Toc23588"/>
      <w:bookmarkStart w:id="3" w:name="_Toc6921"/>
      <w:bookmarkStart w:id="4" w:name="_Toc11641050"/>
      <w:bookmarkStart w:id="5" w:name="_Toc25875"/>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73860293"/>
      <w:bookmarkStart w:id="7" w:name="_Toc317775178"/>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信息中心等保测评服务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313893526"/>
      <w:bookmarkStart w:id="9" w:name="_Toc317775175"/>
      <w:bookmarkStart w:id="10" w:name="_Toc485108767"/>
      <w:bookmarkStart w:id="11" w:name="_Toc28443"/>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信息中心等保测评服务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服务期：1年</w:t>
            </w:r>
          </w:p>
        </w:tc>
      </w:tr>
    </w:tbl>
    <w:p w14:paraId="00DB30B5">
      <w:pPr>
        <w:spacing w:line="560" w:lineRule="exact"/>
        <w:jc w:val="left"/>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：医院自筹,预算金额：27万元。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485108774"/>
      <w:bookmarkStart w:id="19" w:name="_Toc102227313"/>
    </w:p>
    <w:p w14:paraId="33C9D2E3">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1.参选供应商须持有公安部第三研究所（或公安部认定的其他合法机构）颁发的网络安全等级保护测评资质，且资质证书在有效期内。（提供相应的证明材料并加盖公章）</w:t>
      </w:r>
    </w:p>
    <w:p w14:paraId="2526EA5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为配合采购人做好数据安全风险评估咨询服务，参选供应商须已被纳入省级（直辖市）及以上数据安全工作协调机制办公室发布的“数据安全第三方评估机构”名单（参选供应商须提供名单截图及所在页面网址，并加盖参选供应商公章）。</w:t>
      </w:r>
    </w:p>
    <w:bookmarkEnd w:id="16"/>
    <w:bookmarkEnd w:id="17"/>
    <w:p w14:paraId="7B1BB4FE">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bookmarkStart w:id="195" w:name="_GoBack"/>
      <w:bookmarkEnd w:id="195"/>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28</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color w:val="000000" w:themeColor="text1"/>
          <w:sz w:val="24"/>
          <w:szCs w:val="24"/>
          <w:shd w:val="clear" w:color="auto" w:fill="auto"/>
          <w14:textFill>
            <w14:solidFill>
              <w14:schemeClr w14:val="tx1"/>
            </w14:solidFill>
          </w14:textFill>
        </w:rPr>
        <w:t>起</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color w:val="000000" w:themeColor="text1"/>
          <w:sz w:val="24"/>
          <w:szCs w:val="24"/>
          <w:shd w:val="clear" w:color="auto" w:fill="auto"/>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28</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30</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color w:val="000000" w:themeColor="text1"/>
          <w:sz w:val="24"/>
          <w:szCs w:val="24"/>
          <w:shd w:val="clear" w:color="auto" w:fill="auto"/>
          <w14:textFill>
            <w14:solidFill>
              <w14:schemeClr w14:val="tx1"/>
            </w14:solidFill>
          </w14:textFill>
        </w:rPr>
        <w:t>时</w:t>
      </w:r>
      <w:r>
        <w:rPr>
          <w:rFonts w:hint="eastAsia" w:ascii="宋体" w:hAnsi="宋体" w:eastAsia="宋体" w:cs="宋体"/>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采购办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（五）比选地点：重庆医科大学附属永川医院综合楼（地址：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54171062"/>
      <w:bookmarkStart w:id="24" w:name="_Toc373860294"/>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1625"/>
      <w:bookmarkStart w:id="27" w:name="_Toc2806"/>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31390"/>
      <w:bookmarkStart w:id="29" w:name="_Toc9130"/>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41396D5C">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21FBC319">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3DEF26FA">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 xml:space="preserve">  </w:t>
      </w:r>
    </w:p>
    <w:p w14:paraId="67BD785E">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地  址：重庆永川区重医附属永川医院兴龙湖院区采购办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25F5DB8B">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p>
    <w:p w14:paraId="478102F0">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（二）采购代理机构：重庆鸿兴招标代理有限公司</w:t>
      </w:r>
    </w:p>
    <w:p w14:paraId="5BD6BC3F">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联系人：周老师</w:t>
      </w:r>
    </w:p>
    <w:p w14:paraId="35879995">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电  话：19946997890</w:t>
      </w:r>
    </w:p>
    <w:p w14:paraId="31807FD2">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地  址：重庆市永川区内环南路777号一区12幢附41号</w:t>
      </w:r>
    </w:p>
    <w:p w14:paraId="349143F8">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10478"/>
      <w:bookmarkStart w:id="33"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1E28655E">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w:t>
      </w:r>
      <w:bookmarkStart w:id="37" w:name="OLE_LINK1"/>
      <w:bookmarkStart w:id="38" w:name="OLE_LINK2"/>
      <w:r>
        <w:rPr>
          <w:rFonts w:hint="eastAsia" w:ascii="宋体" w:hAnsi="宋体" w:eastAsia="宋体" w:cs="宋体"/>
          <w:color w:val="FF0000"/>
          <w:sz w:val="24"/>
          <w:szCs w:val="24"/>
          <w:shd w:val="clear" w:color="auto" w:fill="auto"/>
        </w:rPr>
        <w:t>本次报价须为人民币报价，</w:t>
      </w:r>
      <w:r>
        <w:rPr>
          <w:rFonts w:hint="eastAsia" w:ascii="宋体" w:hAnsi="宋体" w:eastAsia="宋体" w:cs="宋体"/>
          <w:color w:val="FF0000"/>
          <w:sz w:val="24"/>
          <w:szCs w:val="24"/>
          <w:shd w:val="clear" w:color="auto" w:fill="auto"/>
          <w:lang w:eastAsia="zh-CN"/>
        </w:rPr>
        <w:t>且为包干价，</w:t>
      </w:r>
      <w:r>
        <w:rPr>
          <w:rFonts w:hint="eastAsia" w:ascii="宋体" w:hAnsi="宋体" w:eastAsia="宋体" w:cs="宋体"/>
          <w:color w:val="FF0000"/>
          <w:sz w:val="24"/>
          <w:szCs w:val="24"/>
          <w:shd w:val="clear" w:color="auto" w:fill="auto"/>
        </w:rPr>
        <w:t>包含</w:t>
      </w:r>
      <w:r>
        <w:rPr>
          <w:rFonts w:hint="eastAsia" w:ascii="宋体" w:hAnsi="宋体" w:eastAsia="宋体" w:cs="宋体"/>
          <w:color w:val="FF0000"/>
          <w:sz w:val="24"/>
          <w:szCs w:val="24"/>
          <w:shd w:val="clear" w:color="auto" w:fill="auto"/>
          <w:lang w:eastAsia="zh-CN"/>
        </w:rPr>
        <w:t>但不限于</w:t>
      </w:r>
      <w:r>
        <w:rPr>
          <w:rFonts w:hint="eastAsia" w:ascii="宋体" w:hAnsi="宋体" w:eastAsia="宋体" w:cs="宋体"/>
          <w:color w:val="FF0000"/>
          <w:sz w:val="24"/>
          <w:szCs w:val="24"/>
          <w:shd w:val="clear" w:color="auto" w:fill="auto"/>
        </w:rPr>
        <w:t>：完成本项目所需的人工费及提供服务所需的设备或货物购买（制造）费、辅材费、</w:t>
      </w:r>
      <w:r>
        <w:rPr>
          <w:rFonts w:hint="eastAsia" w:ascii="宋体" w:hAnsi="宋体" w:eastAsia="宋体" w:cs="宋体"/>
          <w:color w:val="FF0000"/>
          <w:sz w:val="24"/>
          <w:szCs w:val="24"/>
          <w:shd w:val="clear" w:color="auto" w:fill="auto"/>
          <w:lang w:val="en-US" w:eastAsia="zh-CN"/>
        </w:rPr>
        <w:t>运输</w:t>
      </w:r>
      <w:r>
        <w:rPr>
          <w:rFonts w:hint="eastAsia" w:ascii="宋体" w:hAnsi="宋体" w:eastAsia="宋体" w:cs="宋体"/>
          <w:color w:val="FF0000"/>
          <w:sz w:val="24"/>
          <w:szCs w:val="24"/>
          <w:shd w:val="clear" w:color="auto" w:fill="auto"/>
        </w:rPr>
        <w:t>费</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保险费</w:t>
      </w:r>
      <w:r>
        <w:rPr>
          <w:rFonts w:hint="eastAsia" w:ascii="宋体" w:hAnsi="宋体" w:eastAsia="宋体" w:cs="宋体"/>
          <w:color w:val="FF0000"/>
          <w:sz w:val="24"/>
          <w:szCs w:val="24"/>
          <w:shd w:val="clear" w:color="auto" w:fill="auto"/>
        </w:rPr>
        <w:t>及各种应纳的税费等完成本项目的所有费用。因</w:t>
      </w:r>
      <w:r>
        <w:rPr>
          <w:rFonts w:hint="eastAsia" w:ascii="宋体" w:hAnsi="宋体" w:eastAsia="宋体" w:cs="宋体"/>
          <w:color w:val="FF0000"/>
          <w:sz w:val="24"/>
          <w:szCs w:val="24"/>
          <w:shd w:val="clear" w:color="auto" w:fill="auto"/>
          <w:lang w:eastAsia="zh-CN"/>
        </w:rPr>
        <w:t>参选供应商</w:t>
      </w:r>
      <w:r>
        <w:rPr>
          <w:rFonts w:hint="eastAsia" w:ascii="宋体" w:hAnsi="宋体" w:eastAsia="宋体" w:cs="宋体"/>
          <w:color w:val="FF0000"/>
          <w:sz w:val="24"/>
          <w:szCs w:val="24"/>
          <w:shd w:val="clear" w:color="auto" w:fill="auto"/>
        </w:rPr>
        <w:t>自身原因造成漏报、少报皆由其自行承担责任，采购人不再补偿。</w:t>
      </w:r>
      <w:bookmarkEnd w:id="37"/>
      <w:bookmarkEnd w:id="38"/>
      <w:r>
        <w:rPr>
          <w:rFonts w:hint="eastAsia" w:ascii="宋体" w:hAnsi="宋体" w:eastAsia="宋体" w:cs="宋体"/>
          <w:color w:val="FF0000"/>
          <w:sz w:val="24"/>
          <w:szCs w:val="24"/>
          <w:shd w:val="clear" w:color="auto" w:fill="auto"/>
          <w:lang w:val="en-US" w:eastAsia="zh-CN"/>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FF"/>
          <w:sz w:val="24"/>
          <w:szCs w:val="24"/>
          <w:shd w:val="clear" w:color="auto" w:fill="auto"/>
        </w:rPr>
        <w:t>响应文件一式</w:t>
      </w:r>
      <w:r>
        <w:rPr>
          <w:rFonts w:hint="eastAsia" w:ascii="宋体" w:hAnsi="宋体" w:eastAsia="宋体" w:cs="宋体"/>
          <w:color w:val="0000FF"/>
          <w:sz w:val="24"/>
          <w:szCs w:val="24"/>
          <w:shd w:val="clear" w:color="auto" w:fill="auto"/>
          <w:lang w:eastAsia="zh-CN"/>
        </w:rPr>
        <w:t>五</w:t>
      </w:r>
      <w:r>
        <w:rPr>
          <w:rFonts w:hint="eastAsia" w:ascii="宋体" w:hAnsi="宋体" w:eastAsia="宋体" w:cs="宋体"/>
          <w:color w:val="0000FF"/>
          <w:sz w:val="24"/>
          <w:szCs w:val="24"/>
          <w:shd w:val="clear" w:color="auto" w:fill="auto"/>
        </w:rPr>
        <w:t>份，其中正本一份，副本三份，电子文档一份（电子文档内容应与纸质文件正本一致，提供签字盖章完整的扫描件PDF格式，如不一致以纸质文件正本为准；推荐采用U盘为电子文档载体）（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9" w:name="OLE_LINK3"/>
      <w:bookmarkStart w:id="40" w:name="OLE_LINK9"/>
      <w:bookmarkStart w:id="41" w:name="OLE_LINK8"/>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9"/>
    <w:bookmarkEnd w:id="40"/>
    <w:bookmarkEnd w:id="41"/>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2" w:name="_Toc179714298"/>
      <w:bookmarkStart w:id="43" w:name="_Toc102227319"/>
      <w:bookmarkStart w:id="44" w:name="_Toc342913393"/>
      <w:bookmarkStart w:id="45" w:name="_Toc19143"/>
      <w:bookmarkStart w:id="46" w:name="_Toc18122"/>
      <w:bookmarkStart w:id="47" w:name="_Toc403569780"/>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2"/>
      <w:bookmarkEnd w:id="43"/>
      <w:bookmarkEnd w:id="44"/>
      <w:bookmarkEnd w:id="45"/>
      <w:bookmarkEnd w:id="46"/>
      <w:bookmarkEnd w:id="47"/>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w:t>
      </w:r>
      <w:r>
        <w:rPr>
          <w:rFonts w:hint="eastAsia" w:ascii="宋体" w:hAnsi="宋体" w:eastAsia="宋体" w:cs="宋体"/>
          <w:color w:val="0000FF"/>
          <w:sz w:val="24"/>
          <w:szCs w:val="24"/>
          <w:shd w:val="clear" w:color="auto" w:fill="auto"/>
        </w:rPr>
        <w:t>截图模板见第</w:t>
      </w:r>
      <w:r>
        <w:rPr>
          <w:rFonts w:hint="eastAsia" w:ascii="宋体" w:hAnsi="宋体" w:eastAsia="宋体" w:cs="宋体"/>
          <w:color w:val="0000FF"/>
          <w:sz w:val="24"/>
          <w:szCs w:val="24"/>
          <w:shd w:val="clear" w:color="auto" w:fill="auto"/>
          <w:lang w:eastAsia="zh-CN"/>
        </w:rPr>
        <w:t>六</w:t>
      </w:r>
      <w:r>
        <w:rPr>
          <w:rFonts w:hint="eastAsia" w:ascii="宋体" w:hAnsi="宋体" w:eastAsia="宋体" w:cs="宋体"/>
          <w:color w:val="0000FF"/>
          <w:sz w:val="24"/>
          <w:szCs w:val="24"/>
          <w:shd w:val="clear" w:color="auto" w:fill="auto"/>
        </w:rPr>
        <w:t>篇后模板</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8" w:name="_Toc28776"/>
      <w:bookmarkStart w:id="49" w:name="_Toc14247"/>
      <w:bookmarkStart w:id="50" w:name="_Toc403569781"/>
      <w:bookmarkStart w:id="51" w:name="_Toc102227320"/>
      <w:bookmarkStart w:id="52"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8"/>
      <w:bookmarkEnd w:id="49"/>
      <w:bookmarkEnd w:id="50"/>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3" w:name="_Toc14816"/>
      <w:bookmarkStart w:id="54" w:name="_Toc403569782"/>
      <w:bookmarkStart w:id="55" w:name="_Toc29340"/>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51"/>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2"/>
      <w:bookmarkEnd w:id="53"/>
      <w:bookmarkEnd w:id="54"/>
      <w:bookmarkEnd w:id="55"/>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6" w:name="_Toc3212"/>
      <w:bookmarkStart w:id="57" w:name="_Toc342913395"/>
      <w:bookmarkStart w:id="58" w:name="_Toc102227321"/>
      <w:bookmarkStart w:id="59" w:name="_Toc403569783"/>
      <w:bookmarkStart w:id="60" w:name="_Toc7135"/>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6"/>
      <w:bookmarkEnd w:id="57"/>
      <w:bookmarkEnd w:id="58"/>
      <w:bookmarkEnd w:id="59"/>
      <w:bookmarkEnd w:id="60"/>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1" w:name="_Toc17413"/>
      <w:bookmarkStart w:id="62" w:name="_Toc12880"/>
      <w:bookmarkStart w:id="63"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61"/>
      <w:bookmarkEnd w:id="62"/>
      <w:bookmarkEnd w:id="63"/>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4" w:name="_Toc102227322"/>
      <w:bookmarkStart w:id="65" w:name="_Toc6381"/>
      <w:bookmarkStart w:id="66" w:name="_Toc342913396"/>
      <w:bookmarkStart w:id="67" w:name="_Toc403569785"/>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3E7C54C6">
      <w:pPr>
        <w:pStyle w:val="3"/>
        <w:spacing w:before="0" w:beforeAutospacing="0" w:after="0" w:line="240" w:lineRule="auto"/>
        <w:ind w:firstLine="482" w:firstLineChars="200"/>
        <w:jc w:val="left"/>
        <w:outlineLvl w:val="9"/>
        <w:rPr>
          <w:rFonts w:hint="eastAsia" w:ascii="宋体" w:hAnsi="宋体" w:eastAsia="宋体" w:cs="宋体"/>
          <w:color w:val="000000"/>
          <w:sz w:val="28"/>
          <w:szCs w:val="20"/>
          <w:highlight w:val="yellow"/>
        </w:rPr>
      </w:pPr>
      <w:bookmarkStart w:id="68" w:name="_Toc5728"/>
      <w:r>
        <w:rPr>
          <w:rFonts w:hint="eastAsia" w:ascii="宋体" w:hAnsi="宋体" w:eastAsia="宋体" w:cs="宋体"/>
          <w:color w:val="000000" w:themeColor="text1"/>
          <w:sz w:val="24"/>
          <w:szCs w:val="24"/>
          <w:shd w:val="clear" w:color="auto" w:fill="auto"/>
          <w14:textFill>
            <w14:solidFill>
              <w14:schemeClr w14:val="tx1"/>
            </w14:solidFill>
          </w14:textFill>
        </w:rPr>
        <w:t>九、</w:t>
      </w:r>
      <w:bookmarkEnd w:id="64"/>
      <w:bookmarkEnd w:id="65"/>
      <w:bookmarkEnd w:id="66"/>
      <w:bookmarkEnd w:id="67"/>
      <w:bookmarkEnd w:id="68"/>
      <w:r>
        <w:rPr>
          <w:rFonts w:hint="eastAsia" w:ascii="宋体" w:hAnsi="宋体" w:eastAsia="宋体" w:cs="宋体"/>
          <w:color w:val="000000" w:themeColor="text1"/>
          <w:sz w:val="24"/>
          <w:szCs w:val="24"/>
          <w:shd w:val="clear" w:color="auto" w:fill="auto"/>
          <w14:textFill>
            <w14:solidFill>
              <w14:schemeClr w14:val="tx1"/>
            </w14:solidFill>
          </w14:textFill>
        </w:rPr>
        <w:t xml:space="preserve">代理服务费 </w:t>
      </w:r>
    </w:p>
    <w:p w14:paraId="6FC5F537">
      <w:pPr>
        <w:snapToGrid w:val="0"/>
        <w:spacing w:line="400" w:lineRule="exact"/>
        <w:ind w:firstLine="480" w:firstLineChars="200"/>
        <w:jc w:val="left"/>
        <w:rPr>
          <w:rFonts w:hint="eastAsia" w:ascii="宋体" w:hAnsi="宋体" w:eastAsia="宋体" w:cs="宋体"/>
          <w:color w:val="0000FF"/>
          <w:sz w:val="24"/>
          <w:szCs w:val="24"/>
          <w:shd w:val="clear" w:color="auto" w:fill="auto"/>
        </w:rPr>
      </w:pPr>
      <w:r>
        <w:rPr>
          <w:rFonts w:hint="eastAsia" w:ascii="宋体" w:hAnsi="宋体" w:eastAsia="宋体" w:cs="宋体"/>
          <w:color w:val="0000FF"/>
          <w:sz w:val="24"/>
          <w:szCs w:val="24"/>
          <w:shd w:val="clear" w:color="auto" w:fill="auto"/>
          <w:lang w:eastAsia="zh-CN"/>
        </w:rPr>
        <w:t>供应商对医</w:t>
      </w:r>
      <w:r>
        <w:rPr>
          <w:rFonts w:hint="eastAsia" w:ascii="宋体" w:hAnsi="宋体" w:eastAsia="宋体" w:cs="宋体"/>
          <w:color w:val="0000FF"/>
          <w:sz w:val="24"/>
          <w:szCs w:val="24"/>
          <w:shd w:val="clear" w:color="auto" w:fill="auto"/>
          <w:lang w:val="en-US" w:eastAsia="zh-CN"/>
        </w:rPr>
        <w:t>代理服务费</w:t>
      </w:r>
      <w:r>
        <w:rPr>
          <w:rFonts w:hint="eastAsia" w:ascii="宋体" w:hAnsi="宋体" w:eastAsia="宋体" w:cs="宋体"/>
          <w:color w:val="0000FF"/>
          <w:sz w:val="24"/>
          <w:szCs w:val="24"/>
          <w:shd w:val="clear" w:color="auto" w:fill="auto"/>
        </w:rPr>
        <w:t>按照</w:t>
      </w:r>
      <w:r>
        <w:rPr>
          <w:rFonts w:hint="eastAsia" w:ascii="宋体" w:hAnsi="宋体" w:eastAsia="宋体" w:cs="宋体"/>
          <w:color w:val="0000FF"/>
          <w:sz w:val="24"/>
          <w:szCs w:val="24"/>
          <w:shd w:val="clear" w:color="auto" w:fill="auto"/>
          <w:lang w:val="en-US" w:eastAsia="zh-CN"/>
        </w:rPr>
        <w:t>以下</w:t>
      </w:r>
      <w:r>
        <w:rPr>
          <w:rFonts w:hint="eastAsia" w:ascii="宋体" w:hAnsi="宋体" w:eastAsia="宋体" w:cs="宋体"/>
          <w:color w:val="0000FF"/>
          <w:sz w:val="24"/>
          <w:szCs w:val="24"/>
          <w:shd w:val="clear" w:color="auto" w:fill="auto"/>
        </w:rPr>
        <w:t>对应</w:t>
      </w:r>
      <w:r>
        <w:rPr>
          <w:rFonts w:hint="eastAsia" w:ascii="宋体" w:hAnsi="宋体" w:eastAsia="宋体" w:cs="宋体"/>
          <w:color w:val="0000FF"/>
          <w:sz w:val="24"/>
          <w:szCs w:val="24"/>
          <w:shd w:val="clear" w:color="auto" w:fill="auto"/>
          <w:lang w:eastAsia="zh-CN"/>
        </w:rPr>
        <w:t>收取</w:t>
      </w:r>
      <w:r>
        <w:rPr>
          <w:rFonts w:hint="eastAsia" w:ascii="宋体" w:hAnsi="宋体" w:eastAsia="宋体" w:cs="宋体"/>
          <w:color w:val="0000FF"/>
          <w:sz w:val="24"/>
          <w:szCs w:val="24"/>
          <w:shd w:val="clear" w:color="auto" w:fill="auto"/>
        </w:rPr>
        <w:t>标准下浮</w:t>
      </w:r>
      <w:r>
        <w:rPr>
          <w:rFonts w:hint="eastAsia" w:ascii="宋体" w:hAnsi="宋体" w:eastAsia="宋体" w:cs="宋体"/>
          <w:color w:val="0000FF"/>
          <w:sz w:val="24"/>
          <w:szCs w:val="24"/>
          <w:shd w:val="clear" w:color="auto" w:fill="auto"/>
          <w:lang w:val="en-US" w:eastAsia="zh-CN"/>
        </w:rPr>
        <w:t>40</w:t>
      </w:r>
      <w:r>
        <w:rPr>
          <w:rFonts w:hint="eastAsia" w:ascii="宋体" w:hAnsi="宋体" w:eastAsia="宋体" w:cs="宋体"/>
          <w:color w:val="0000FF"/>
          <w:sz w:val="24"/>
          <w:szCs w:val="24"/>
          <w:shd w:val="clear" w:color="auto" w:fill="auto"/>
        </w:rPr>
        <w:t>%</w:t>
      </w:r>
      <w:r>
        <w:rPr>
          <w:rFonts w:hint="eastAsia" w:ascii="宋体" w:hAnsi="宋体" w:eastAsia="宋体" w:cs="宋体"/>
          <w:color w:val="0000FF"/>
          <w:sz w:val="24"/>
          <w:szCs w:val="24"/>
          <w:shd w:val="clear" w:color="auto" w:fill="auto"/>
          <w:lang w:val="en-US" w:eastAsia="zh-CN"/>
        </w:rPr>
        <w:t xml:space="preserve"> </w:t>
      </w:r>
      <w:r>
        <w:rPr>
          <w:rFonts w:hint="eastAsia" w:ascii="宋体" w:hAnsi="宋体" w:eastAsia="宋体" w:cs="宋体"/>
          <w:color w:val="0000FF"/>
          <w:sz w:val="24"/>
          <w:szCs w:val="24"/>
          <w:shd w:val="clear" w:color="auto" w:fill="auto"/>
        </w:rPr>
        <w:t>执行</w:t>
      </w:r>
      <w:r>
        <w:rPr>
          <w:rFonts w:hint="eastAsia" w:ascii="宋体" w:hAnsi="宋体" w:eastAsia="宋体" w:cs="宋体"/>
          <w:color w:val="0000FF"/>
          <w:sz w:val="24"/>
          <w:szCs w:val="24"/>
          <w:shd w:val="clear" w:color="auto" w:fill="auto"/>
          <w:lang w:val="en-US" w:eastAsia="zh-CN"/>
        </w:rPr>
        <w:t>，以中标（成交）价为计费基数，采用差额定率累进法并结合代理服务费下浮率进行计算，</w:t>
      </w:r>
      <w:r>
        <w:rPr>
          <w:rFonts w:hint="eastAsia" w:ascii="宋体" w:hAnsi="宋体" w:eastAsia="宋体" w:cs="宋体"/>
          <w:color w:val="0000FF"/>
          <w:sz w:val="24"/>
          <w:szCs w:val="24"/>
          <w:shd w:val="clear" w:color="auto" w:fill="auto"/>
        </w:rPr>
        <w:t>由中标人（成交供应商）领取中标（成交）通知书时一次性支付给</w:t>
      </w:r>
      <w:r>
        <w:rPr>
          <w:rFonts w:hint="eastAsia" w:ascii="宋体" w:hAnsi="宋体" w:eastAsia="宋体" w:cs="宋体"/>
          <w:color w:val="0000FF"/>
          <w:sz w:val="24"/>
          <w:szCs w:val="24"/>
          <w:shd w:val="clear" w:color="auto" w:fill="auto"/>
          <w:lang w:val="en-US" w:eastAsia="zh-CN"/>
        </w:rPr>
        <w:t>招标代理公司</w:t>
      </w:r>
      <w:r>
        <w:rPr>
          <w:rFonts w:hint="eastAsia" w:ascii="宋体" w:hAnsi="宋体" w:eastAsia="宋体" w:cs="宋体"/>
          <w:color w:val="0000FF"/>
          <w:sz w:val="24"/>
          <w:szCs w:val="24"/>
          <w:shd w:val="clear" w:color="auto" w:fill="auto"/>
        </w:rPr>
        <w:t>。</w:t>
      </w:r>
    </w:p>
    <w:p w14:paraId="65ACAE5C">
      <w:pPr>
        <w:snapToGrid w:val="0"/>
        <w:spacing w:line="400" w:lineRule="exact"/>
        <w:ind w:firstLine="482" w:firstLineChars="200"/>
        <w:jc w:val="center"/>
        <w:rPr>
          <w:rFonts w:hint="default" w:ascii="方正仿宋_GBK" w:hAnsi="方正仿宋_GBK" w:eastAsia="方正仿宋_GBK" w:cs="方正仿宋_GBK"/>
          <w:b/>
          <w:bCs/>
          <w:color w:val="0000FF"/>
          <w:sz w:val="24"/>
          <w:szCs w:val="24"/>
          <w:highlight w:val="none"/>
        </w:rPr>
      </w:pPr>
      <w:r>
        <w:rPr>
          <w:rFonts w:hint="default" w:ascii="方正仿宋_GBK" w:hAnsi="方正仿宋_GBK" w:eastAsia="方正仿宋_GBK" w:cs="方正仿宋_GBK"/>
          <w:b/>
          <w:bCs/>
          <w:color w:val="0000FF"/>
          <w:sz w:val="24"/>
          <w:szCs w:val="24"/>
          <w:highlight w:val="none"/>
        </w:rPr>
        <w:t>采购代理服务</w:t>
      </w:r>
      <w:r>
        <w:rPr>
          <w:rFonts w:hint="eastAsia" w:ascii="方正仿宋_GBK" w:hAnsi="方正仿宋_GBK" w:eastAsia="方正仿宋_GBK" w:cs="方正仿宋_GBK"/>
          <w:b/>
          <w:bCs/>
          <w:color w:val="0000FF"/>
          <w:sz w:val="24"/>
          <w:szCs w:val="24"/>
          <w:highlight w:val="none"/>
        </w:rPr>
        <w:t>收取标准</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1"/>
        <w:gridCol w:w="2310"/>
        <w:gridCol w:w="2430"/>
        <w:gridCol w:w="2307"/>
      </w:tblGrid>
      <w:tr w14:paraId="1E7E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2150" w:type="dxa"/>
            <w:noWrap w:val="0"/>
            <w:vAlign w:val="top"/>
          </w:tcPr>
          <w:p w14:paraId="2917623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mc:AlternateContent>
                <mc:Choice Requires="wps">
                  <w:drawing>
                    <wp:anchor distT="0" distB="0" distL="114300" distR="114300" simplePos="0" relativeHeight="251660288" behindDoc="0" locked="0" layoutInCell="1" allowOverlap="1">
                      <wp:simplePos x="0" y="0"/>
                      <wp:positionH relativeFrom="column">
                        <wp:posOffset>434975</wp:posOffset>
                      </wp:positionH>
                      <wp:positionV relativeFrom="paragraph">
                        <wp:posOffset>-1905</wp:posOffset>
                      </wp:positionV>
                      <wp:extent cx="969645" cy="1238250"/>
                      <wp:effectExtent l="3810" t="3175" r="17145" b="15875"/>
                      <wp:wrapNone/>
                      <wp:docPr id="8" name="直接箭头连接符 8"/>
                      <wp:cNvGraphicFramePr/>
                      <a:graphic xmlns:a="http://schemas.openxmlformats.org/drawingml/2006/main">
                        <a:graphicData uri="http://schemas.microsoft.com/office/word/2010/wordprocessingShape">
                          <wps:wsp>
                            <wps:cNvCnPr/>
                            <wps:spPr>
                              <a:xfrm>
                                <a:off x="0" y="0"/>
                                <a:ext cx="969645" cy="123825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34.25pt;margin-top:-0.15pt;height:97.5pt;width:76.35pt;z-index:251660288;mso-width-relative:page;mso-height-relative:page;" filled="f" stroked="t" coordsize="21600,21600" o:gfxdata="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jvrZw1wAAAAgBAAAPAAAAAAAAAAEAIAAAACIAAABk&#10;cnMvZG93bnJldi54bWxQSwECFAAUAAAACACHTuJAgudxywcCAAD7AwAADgAAAAAAAAABACAAAAAm&#10;AQAAZHJzL2Uyb0RvYy54bWxQSwUGAAAAAAYABgBZAQAAnwUAAAAA&#10;">
                      <v:fill on="f" focussize="0,0"/>
                      <v:stroke color="#000000" joinstyle="round"/>
                      <v:imagedata o:title=""/>
                      <o:lock v:ext="edit" aspectratio="f"/>
                    </v:shape>
                  </w:pict>
                </mc:Fallback>
              </mc:AlternateContent>
            </w:r>
            <w:r>
              <w:rPr>
                <w:rFonts w:hint="eastAsia" w:ascii="方正仿宋_GBK" w:hAnsi="方正仿宋_GBK" w:eastAsia="方正仿宋_GBK" w:cs="方正仿宋_GBK"/>
                <w:color w:val="0000FF"/>
                <w:sz w:val="24"/>
                <w:szCs w:val="24"/>
                <w:highlight w:val="none"/>
                <w:lang w:val="en-US" w:eastAsia="zh-CN"/>
              </w:rPr>
              <w:t xml:space="preserve">     服务类型</w:t>
            </w:r>
          </w:p>
          <w:p w14:paraId="35B9EDB0">
            <w:pPr>
              <w:keepNext w:val="0"/>
              <w:keepLines w:val="0"/>
              <w:suppressLineNumbers w:val="0"/>
              <w:snapToGrid w:val="0"/>
              <w:spacing w:before="0" w:beforeAutospacing="0" w:after="0" w:afterAutospacing="0" w:line="400" w:lineRule="exact"/>
              <w:ind w:left="0" w:right="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308610</wp:posOffset>
                      </wp:positionV>
                      <wp:extent cx="1481455" cy="719455"/>
                      <wp:effectExtent l="1905" t="4445" r="2540" b="19050"/>
                      <wp:wrapNone/>
                      <wp:docPr id="9" name="直接箭头连接符 9"/>
                      <wp:cNvGraphicFramePr/>
                      <a:graphic xmlns:a="http://schemas.openxmlformats.org/drawingml/2006/main">
                        <a:graphicData uri="http://schemas.microsoft.com/office/word/2010/wordprocessingShape">
                          <wps:wsp>
                            <wps:cNvCnPr/>
                            <wps:spPr>
                              <a:xfrm>
                                <a:off x="0" y="0"/>
                                <a:ext cx="1481455" cy="71945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1.85pt;margin-top:24.3pt;height:56.65pt;width:116.65pt;z-index:251659264;mso-width-relative:page;mso-height-relative:page;" filled="f" stroked="t" coordsize="21600,21600" o:gfxdata="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DoIB+2AAAAAkBAAAPAAAAAAAAAAEAIAAAACIAAABkcnMv&#10;ZG93bnJldi54bWxQSwECFAAUAAAACACHTuJAPOgN8AMCAAD7AwAADgAAAAAAAAABACAAAAAnAQAA&#10;ZHJzL2Uyb0RvYy54bWxQSwUGAAAAAAYABgBZAQAAnAUAAAAA&#10;">
                      <v:fill on="f" focussize="0,0"/>
                      <v:stroke color="#000000" joinstyle="round"/>
                      <v:imagedata o:title=""/>
                      <o:lock v:ext="edit" aspectratio="f"/>
                    </v:shape>
                  </w:pict>
                </mc:Fallback>
              </mc:AlternateContent>
            </w:r>
          </w:p>
          <w:p w14:paraId="748ACFF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w:t>费率</w:t>
            </w:r>
          </w:p>
          <w:p w14:paraId="006417D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p>
          <w:p w14:paraId="26A6756B">
            <w:pPr>
              <w:keepNext w:val="0"/>
              <w:keepLines w:val="0"/>
              <w:suppressLineNumbers w:val="0"/>
              <w:snapToGrid w:val="0"/>
              <w:spacing w:before="0" w:beforeAutospacing="0" w:after="0" w:afterAutospacing="0" w:line="400" w:lineRule="exact"/>
              <w:ind w:left="0" w:right="0"/>
              <w:jc w:val="left"/>
              <w:rPr>
                <w:rFonts w:hint="default" w:ascii="方正仿宋_GBK" w:hAnsi="方正仿宋_GBK" w:eastAsia="方正仿宋_GBK" w:cs="方正仿宋_GBK"/>
                <w:color w:val="0000FF"/>
                <w:sz w:val="24"/>
                <w:szCs w:val="20"/>
                <w:highlight w:val="none"/>
                <w:lang w:val="en-US" w:eastAsia="zh-CN"/>
              </w:rPr>
            </w:pPr>
            <w:bookmarkStart w:id="69" w:name="_Toc3648"/>
            <w:bookmarkStart w:id="70" w:name="_Toc795"/>
            <w:bookmarkStart w:id="71" w:name="_Toc29912"/>
            <w:bookmarkStart w:id="72" w:name="_Toc19572"/>
            <w:r>
              <w:rPr>
                <w:rFonts w:hint="eastAsia" w:ascii="方正仿宋_GBK" w:hAnsi="方正仿宋_GBK" w:eastAsia="方正仿宋_GBK" w:cs="方正仿宋_GBK"/>
                <w:color w:val="0000FF"/>
                <w:sz w:val="24"/>
                <w:szCs w:val="24"/>
                <w:highlight w:val="none"/>
                <w:lang w:val="en-US" w:eastAsia="zh-CN"/>
              </w:rPr>
              <w:t>计费基数（万元）</w:t>
            </w:r>
            <w:bookmarkEnd w:id="69"/>
            <w:bookmarkEnd w:id="70"/>
            <w:bookmarkEnd w:id="71"/>
            <w:bookmarkEnd w:id="72"/>
          </w:p>
        </w:tc>
        <w:tc>
          <w:tcPr>
            <w:tcW w:w="2310" w:type="dxa"/>
            <w:noWrap w:val="0"/>
            <w:vAlign w:val="center"/>
          </w:tcPr>
          <w:p w14:paraId="3EB04D0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w:t>货物招标</w:t>
            </w:r>
          </w:p>
        </w:tc>
        <w:tc>
          <w:tcPr>
            <w:tcW w:w="2430" w:type="dxa"/>
            <w:noWrap w:val="0"/>
            <w:vAlign w:val="center"/>
          </w:tcPr>
          <w:p w14:paraId="0668C77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rPr>
              <w:t>服务</w:t>
            </w:r>
            <w:r>
              <w:rPr>
                <w:rFonts w:hint="eastAsia" w:ascii="方正仿宋_GBK" w:hAnsi="方正仿宋_GBK" w:eastAsia="方正仿宋_GBK" w:cs="方正仿宋_GBK"/>
                <w:color w:val="0000FF"/>
                <w:sz w:val="24"/>
                <w:szCs w:val="24"/>
                <w:highlight w:val="none"/>
                <w:lang w:val="en-US" w:eastAsia="zh-CN"/>
              </w:rPr>
              <w:t>招标</w:t>
            </w:r>
          </w:p>
        </w:tc>
        <w:tc>
          <w:tcPr>
            <w:tcW w:w="2307" w:type="dxa"/>
            <w:noWrap w:val="0"/>
            <w:vAlign w:val="center"/>
          </w:tcPr>
          <w:p w14:paraId="6CFD4D8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rPr>
              <w:t>工程</w:t>
            </w:r>
            <w:r>
              <w:rPr>
                <w:rFonts w:hint="eastAsia" w:ascii="方正仿宋_GBK" w:hAnsi="方正仿宋_GBK" w:eastAsia="方正仿宋_GBK" w:cs="方正仿宋_GBK"/>
                <w:color w:val="0000FF"/>
                <w:sz w:val="24"/>
                <w:szCs w:val="24"/>
                <w:highlight w:val="none"/>
                <w:lang w:val="en-US" w:eastAsia="zh-CN"/>
              </w:rPr>
              <w:t>招标</w:t>
            </w:r>
          </w:p>
        </w:tc>
      </w:tr>
      <w:tr w14:paraId="495C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150" w:type="dxa"/>
            <w:noWrap w:val="0"/>
            <w:vAlign w:val="center"/>
          </w:tcPr>
          <w:p w14:paraId="641271A0">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100以下</w:t>
            </w:r>
          </w:p>
        </w:tc>
        <w:tc>
          <w:tcPr>
            <w:tcW w:w="2310" w:type="dxa"/>
            <w:noWrap w:val="0"/>
            <w:vAlign w:val="center"/>
          </w:tcPr>
          <w:p w14:paraId="5D4CFD3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1.5%</w:t>
            </w:r>
          </w:p>
        </w:tc>
        <w:tc>
          <w:tcPr>
            <w:tcW w:w="2430" w:type="dxa"/>
            <w:noWrap w:val="0"/>
            <w:vAlign w:val="center"/>
          </w:tcPr>
          <w:p w14:paraId="375DD1A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1.5%</w:t>
            </w:r>
          </w:p>
        </w:tc>
        <w:tc>
          <w:tcPr>
            <w:tcW w:w="2307" w:type="dxa"/>
            <w:noWrap w:val="0"/>
            <w:vAlign w:val="center"/>
          </w:tcPr>
          <w:p w14:paraId="6A486DD8">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w:t>
            </w:r>
          </w:p>
        </w:tc>
      </w:tr>
      <w:tr w14:paraId="7FF2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150" w:type="dxa"/>
            <w:noWrap w:val="0"/>
            <w:vAlign w:val="center"/>
          </w:tcPr>
          <w:p w14:paraId="3C171973">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100-500</w:t>
            </w:r>
          </w:p>
        </w:tc>
        <w:tc>
          <w:tcPr>
            <w:tcW w:w="2310" w:type="dxa"/>
            <w:noWrap w:val="0"/>
            <w:vAlign w:val="center"/>
          </w:tcPr>
          <w:p w14:paraId="4F11433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1.1%</w:t>
            </w:r>
          </w:p>
        </w:tc>
        <w:tc>
          <w:tcPr>
            <w:tcW w:w="2430" w:type="dxa"/>
            <w:noWrap w:val="0"/>
            <w:vAlign w:val="center"/>
          </w:tcPr>
          <w:p w14:paraId="2A3A9F8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0.8%</w:t>
            </w:r>
          </w:p>
        </w:tc>
        <w:tc>
          <w:tcPr>
            <w:tcW w:w="2307" w:type="dxa"/>
            <w:noWrap w:val="0"/>
            <w:vAlign w:val="center"/>
          </w:tcPr>
          <w:p w14:paraId="69806F6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0.7%</w:t>
            </w:r>
          </w:p>
        </w:tc>
      </w:tr>
      <w:tr w14:paraId="24B7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150" w:type="dxa"/>
            <w:noWrap w:val="0"/>
            <w:vAlign w:val="center"/>
          </w:tcPr>
          <w:p w14:paraId="77CAE21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500-1000</w:t>
            </w:r>
          </w:p>
        </w:tc>
        <w:tc>
          <w:tcPr>
            <w:tcW w:w="2310" w:type="dxa"/>
            <w:noWrap w:val="0"/>
            <w:vAlign w:val="center"/>
          </w:tcPr>
          <w:p w14:paraId="546E526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0.8%</w:t>
            </w:r>
          </w:p>
        </w:tc>
        <w:tc>
          <w:tcPr>
            <w:tcW w:w="2430" w:type="dxa"/>
            <w:noWrap w:val="0"/>
            <w:vAlign w:val="center"/>
          </w:tcPr>
          <w:p w14:paraId="1E9CF138">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0.45%</w:t>
            </w:r>
          </w:p>
        </w:tc>
        <w:tc>
          <w:tcPr>
            <w:tcW w:w="2307" w:type="dxa"/>
            <w:noWrap w:val="0"/>
            <w:vAlign w:val="center"/>
          </w:tcPr>
          <w:p w14:paraId="2DA6C92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0.55%</w:t>
            </w:r>
          </w:p>
        </w:tc>
      </w:tr>
      <w:tr w14:paraId="16D8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150" w:type="dxa"/>
            <w:noWrap w:val="0"/>
            <w:vAlign w:val="center"/>
          </w:tcPr>
          <w:p w14:paraId="70F5EDC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1000-5000</w:t>
            </w:r>
          </w:p>
        </w:tc>
        <w:tc>
          <w:tcPr>
            <w:tcW w:w="2310" w:type="dxa"/>
            <w:noWrap w:val="0"/>
            <w:vAlign w:val="center"/>
          </w:tcPr>
          <w:p w14:paraId="1050D4F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0.5%</w:t>
            </w:r>
          </w:p>
        </w:tc>
        <w:tc>
          <w:tcPr>
            <w:tcW w:w="2430" w:type="dxa"/>
            <w:noWrap w:val="0"/>
            <w:vAlign w:val="center"/>
          </w:tcPr>
          <w:p w14:paraId="0E38C9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0.25%</w:t>
            </w:r>
          </w:p>
        </w:tc>
        <w:tc>
          <w:tcPr>
            <w:tcW w:w="2307" w:type="dxa"/>
            <w:noWrap w:val="0"/>
            <w:vAlign w:val="center"/>
          </w:tcPr>
          <w:p w14:paraId="2459A6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0.35%</w:t>
            </w:r>
          </w:p>
        </w:tc>
      </w:tr>
      <w:tr w14:paraId="7E0C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50" w:type="dxa"/>
            <w:noWrap w:val="0"/>
            <w:vAlign w:val="center"/>
          </w:tcPr>
          <w:p w14:paraId="39424E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5000-10000</w:t>
            </w:r>
          </w:p>
        </w:tc>
        <w:tc>
          <w:tcPr>
            <w:tcW w:w="2310" w:type="dxa"/>
            <w:noWrap w:val="0"/>
            <w:vAlign w:val="center"/>
          </w:tcPr>
          <w:p w14:paraId="20504372">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0.25%</w:t>
            </w:r>
          </w:p>
        </w:tc>
        <w:tc>
          <w:tcPr>
            <w:tcW w:w="2430" w:type="dxa"/>
            <w:noWrap w:val="0"/>
            <w:vAlign w:val="center"/>
          </w:tcPr>
          <w:p w14:paraId="0BD268A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0.1%</w:t>
            </w:r>
          </w:p>
        </w:tc>
        <w:tc>
          <w:tcPr>
            <w:tcW w:w="2307" w:type="dxa"/>
            <w:noWrap w:val="0"/>
            <w:vAlign w:val="center"/>
          </w:tcPr>
          <w:p w14:paraId="65D74C0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w:t>
            </w:r>
          </w:p>
        </w:tc>
      </w:tr>
      <w:tr w14:paraId="408E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50" w:type="dxa"/>
            <w:noWrap w:val="0"/>
            <w:vAlign w:val="center"/>
          </w:tcPr>
          <w:p w14:paraId="7CD337C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10000-50000</w:t>
            </w:r>
          </w:p>
        </w:tc>
        <w:tc>
          <w:tcPr>
            <w:tcW w:w="2310" w:type="dxa"/>
            <w:noWrap w:val="0"/>
            <w:vAlign w:val="center"/>
          </w:tcPr>
          <w:p w14:paraId="4918D85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c>
          <w:tcPr>
            <w:tcW w:w="2430" w:type="dxa"/>
            <w:noWrap w:val="0"/>
            <w:vAlign w:val="center"/>
          </w:tcPr>
          <w:p w14:paraId="4724DB92">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c>
          <w:tcPr>
            <w:tcW w:w="2307" w:type="dxa"/>
            <w:noWrap w:val="0"/>
            <w:vAlign w:val="center"/>
          </w:tcPr>
          <w:p w14:paraId="09066C5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r>
      <w:tr w14:paraId="737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150" w:type="dxa"/>
            <w:noWrap w:val="0"/>
            <w:vAlign w:val="center"/>
          </w:tcPr>
          <w:p w14:paraId="3EAD8E8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50000-100000</w:t>
            </w:r>
          </w:p>
        </w:tc>
        <w:tc>
          <w:tcPr>
            <w:tcW w:w="2310" w:type="dxa"/>
            <w:noWrap w:val="0"/>
            <w:vAlign w:val="center"/>
          </w:tcPr>
          <w:p w14:paraId="0C094B6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c>
          <w:tcPr>
            <w:tcW w:w="2430" w:type="dxa"/>
            <w:noWrap w:val="0"/>
            <w:vAlign w:val="center"/>
          </w:tcPr>
          <w:p w14:paraId="22AFB26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c>
          <w:tcPr>
            <w:tcW w:w="2307" w:type="dxa"/>
            <w:noWrap w:val="0"/>
            <w:vAlign w:val="center"/>
          </w:tcPr>
          <w:p w14:paraId="3228D71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r>
      <w:tr w14:paraId="3730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50" w:type="dxa"/>
            <w:noWrap w:val="0"/>
            <w:vAlign w:val="center"/>
          </w:tcPr>
          <w:p w14:paraId="70C1B62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100000-500000</w:t>
            </w:r>
          </w:p>
        </w:tc>
        <w:tc>
          <w:tcPr>
            <w:tcW w:w="2310" w:type="dxa"/>
            <w:noWrap w:val="0"/>
            <w:vAlign w:val="center"/>
          </w:tcPr>
          <w:p w14:paraId="1ED9496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c>
          <w:tcPr>
            <w:tcW w:w="2430" w:type="dxa"/>
            <w:noWrap w:val="0"/>
            <w:vAlign w:val="center"/>
          </w:tcPr>
          <w:p w14:paraId="7B6D00E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c>
          <w:tcPr>
            <w:tcW w:w="2307" w:type="dxa"/>
            <w:noWrap w:val="0"/>
            <w:vAlign w:val="center"/>
          </w:tcPr>
          <w:p w14:paraId="449CB4B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r>
      <w:tr w14:paraId="1AE1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150" w:type="dxa"/>
            <w:noWrap w:val="0"/>
            <w:vAlign w:val="center"/>
          </w:tcPr>
          <w:p w14:paraId="1B64AF57">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500000-1000000</w:t>
            </w:r>
          </w:p>
        </w:tc>
        <w:tc>
          <w:tcPr>
            <w:tcW w:w="2310" w:type="dxa"/>
            <w:noWrap w:val="0"/>
            <w:vAlign w:val="center"/>
          </w:tcPr>
          <w:p w14:paraId="53FC50C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c>
          <w:tcPr>
            <w:tcW w:w="2430" w:type="dxa"/>
            <w:noWrap w:val="0"/>
            <w:vAlign w:val="center"/>
          </w:tcPr>
          <w:p w14:paraId="188806E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c>
          <w:tcPr>
            <w:tcW w:w="2307" w:type="dxa"/>
            <w:noWrap w:val="0"/>
            <w:vAlign w:val="center"/>
          </w:tcPr>
          <w:p w14:paraId="799A708D">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r>
      <w:tr w14:paraId="3A19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50" w:type="dxa"/>
            <w:noWrap w:val="0"/>
            <w:vAlign w:val="center"/>
          </w:tcPr>
          <w:p w14:paraId="4C8FF6C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1000000以上</w:t>
            </w:r>
          </w:p>
        </w:tc>
        <w:tc>
          <w:tcPr>
            <w:tcW w:w="2310" w:type="dxa"/>
            <w:noWrap w:val="0"/>
            <w:vAlign w:val="center"/>
          </w:tcPr>
          <w:p w14:paraId="7D6CD1D7">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c>
          <w:tcPr>
            <w:tcW w:w="2430" w:type="dxa"/>
            <w:noWrap w:val="0"/>
            <w:vAlign w:val="center"/>
          </w:tcPr>
          <w:p w14:paraId="409BC84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c>
          <w:tcPr>
            <w:tcW w:w="2307" w:type="dxa"/>
            <w:noWrap w:val="0"/>
            <w:vAlign w:val="center"/>
          </w:tcPr>
          <w:p w14:paraId="6B99159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r>
    </w:tbl>
    <w:p w14:paraId="0DD84F1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签订合同</w:t>
      </w:r>
    </w:p>
    <w:p w14:paraId="373DFF0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947F5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11D7146E">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1594F6A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5EA74E2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737FED7F">
      <w:pP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73" w:name="_Toc11770"/>
      <w:bookmarkStart w:id="74" w:name="_Toc26684"/>
      <w:bookmarkStart w:id="75" w:name="_Toc7206"/>
      <w:bookmarkStart w:id="76" w:name="_Toc485108784"/>
      <w:r>
        <w:rPr>
          <w:rFonts w:hint="eastAsia" w:ascii="宋体" w:hAnsi="宋体" w:eastAsia="宋体" w:cs="宋体"/>
          <w:b/>
          <w:color w:val="000000" w:themeColor="text1"/>
          <w:sz w:val="36"/>
          <w:szCs w:val="36"/>
          <w:shd w:val="clear" w:color="auto" w:fill="auto"/>
          <w14:textFill>
            <w14:solidFill>
              <w14:schemeClr w14:val="tx1"/>
            </w14:solidFill>
          </w14:textFill>
        </w:rPr>
        <w:br w:type="page"/>
      </w:r>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第三篇  项目需求</w:t>
      </w:r>
      <w:bookmarkEnd w:id="73"/>
      <w:bookmarkEnd w:id="74"/>
      <w:bookmarkEnd w:id="75"/>
      <w:bookmarkEnd w:id="76"/>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7" w:name="_Toc485108787"/>
      <w:bookmarkStart w:id="78" w:name="_Toc28327"/>
      <w:bookmarkStart w:id="79" w:name="_Toc12789058"/>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服务需求</w:t>
      </w:r>
    </w:p>
    <w:p w14:paraId="48B0BABC">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80" w:name="_Toc17014"/>
      <w:bookmarkStart w:id="81" w:name="_Toc4364"/>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1.服务范围：</w:t>
      </w:r>
      <w:r>
        <w:rPr>
          <w:rFonts w:hint="eastAsia" w:ascii="宋体" w:hAnsi="宋体" w:eastAsia="宋体" w:cs="宋体"/>
          <w:color w:val="000000" w:themeColor="text1"/>
          <w:sz w:val="24"/>
          <w:szCs w:val="24"/>
          <w:shd w:val="clear" w:color="auto" w:fill="auto"/>
          <w14:textFill>
            <w14:solidFill>
              <w14:schemeClr w14:val="tx1"/>
            </w14:solidFill>
          </w14:textFill>
        </w:rPr>
        <w:t>本次等保测评涉及重庆医科大学附属永川医院HIS系统、LIS系统、PACS系统、电子病历系统、互联网医院平台、集成平台共计6个核心信息系统，安全保护等级均为第三级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其中，LIS系统、PACS系统、电子病历系统、集成平台4个系统为首次开展等保测评，成交供应商须承担系统定级备案相关工作，包括但不限于协助医院完成定级报告编制、定级专家评审组织及向属地公安机关提交备案材料等，确保上述系统在本项目服务周期内依法取得公安机关出具的《信息系统安全等级保护备案证明》。</w:t>
      </w:r>
    </w:p>
    <w:p w14:paraId="6F749655">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2.服务要求：（1）根据《中华人民共和国网络安全法》、《信息安全等级保护管理办法》、《信息安全技术网络安全等级保护基本要求》（GB/T22239-2019）、《信息安全技术网络安全等级保护测评要求》（GB/T 28448-2019）、《信息安全技术网络安全等级保护测评过程指南》（GB/T 28449-2018）等法规和标准要求，在现有应用环境下，对比国家信息系统网络安全等级保护的各项要求，对本项目涉及的信息系统开展网络安全等级保护测评工作，针对测评中发现的的安全问题，成交供应商需通过专业的技术手段进行合理分析，正确评估风险并协助医院完成整改工作，测评完成后出具《网络安全信息系统等级保护测评报告》。</w:t>
      </w:r>
    </w:p>
    <w:p w14:paraId="1116A038">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周期内，成交供应商须为采购人提供数据安全相关咨询服务，内容涵盖数据安全合规建设咨询、数据安全风险评估方法论指导、数据安全管理制度完善建议等，以协助采购人落实国家数据安全工作协调机制相关要求，履行重要数据保护义务，并为采购人后续数据安全合规工作的系统化开展提供专业支撑。相关服务内容及成果须符合国家及重庆市数据安全相关法规及标准要求。</w:t>
      </w:r>
    </w:p>
    <w:p w14:paraId="7149AF4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3.服务标准：</w:t>
      </w:r>
    </w:p>
    <w:p w14:paraId="5A8A9266">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（1）规范性原则：成交供应商须根据项目实施需要及采购人要求，在人员配置、实施进度和质量管控等方面进行严格管理，确保测评过程规范有序。</w:t>
      </w:r>
    </w:p>
    <w:p w14:paraId="305C052B">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（2）标准化原则：测评实施须严格遵守国家网络安全等级保护相关法律、法规、技术标准及规范要求，从业务、技术、运行管理等多个维度对项目实施进行体系化设计，充分体现标准化和规范化。</w:t>
      </w:r>
    </w:p>
    <w:p w14:paraId="62E8D522">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（3）完整性原则：测评过程中须确保测评数据、过程记录及测评结果的完整性和真实性，所有测评活动均有据可查、可追溯。</w:t>
      </w:r>
    </w:p>
    <w:p w14:paraId="4EB6F7A9">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保密性原则：测评实施前，成交供应商须与采购人签订具有法律效力的保密协议，加强对测评人员及技术工具的组织管理，确保项目实施过程中涉及的所有业务数据、系统信息及测评成果不向任何第三方泄露，不得擅自保留或利用上述信息。</w:t>
      </w:r>
    </w:p>
    <w:p w14:paraId="795B40D0">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（5）最小影响性原则：测评实施过程中须充分评估相关操作对业务系统正常运行可能造成的不利影响，采取必要风险控制措施（如避开业务高峰期、采用负载均衡测试等），将系统中断运行风险降至最低。</w:t>
      </w:r>
    </w:p>
    <w:p w14:paraId="28C851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4.服务内容：依据GB/T 22239-2019《信息安全技术 网络安全等级保护基本要求》及等保2.0相关技术标准，对本次涉及的6个三级系统从安全物理环境、安全通信网络、安全区域边界、安全计算环境、安全管理中心、安全管理制度、安全管理机构、安全管理人员、安全建设管理、安全运维管理十个层面开展等级保护测评工作。具体内容如下：</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br w:type="textWrapping"/>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 xml:space="preserve">     （1）安全物理环境：针对待测评系统所在的物理环境进行测评，包括机房位置选址、建筑结构安全、防火、防雷、防水、防潮、防静电、温湿度控制、电力供应保障及电磁防护等方面，确保物理环境能够为系统的安全稳定运行提供可靠保障。</w:t>
      </w:r>
    </w:p>
    <w:p w14:paraId="442A15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安全通信网络：评估待测评系统内部及与外部网络之间的通信网络安全状况，涵盖网络架构合理性、通信传输安全性及可信验证机制等方面。重点核查网络拓扑结构是否合理、通信线路是否安全可靠、通信数据是否采用加密技术进行保护、是否具备可信验证机制以防止非法网络接入等。</w:t>
      </w:r>
    </w:p>
    <w:p w14:paraId="23BDEE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安全区域边界：针对待测评系统所处的安全区域边界进行测评，包括边界防护、访问控制、入侵防范、恶意代码防范、安全审计等方面。确保安全区域边界能够有效隔离不同安全级别的网络区域，对进出边界的网络流量实施严格的访问控制，及时发现和阻止入侵行为及恶意代码传播，并对边界访问行为进行详细的安全审计。</w:t>
      </w:r>
    </w:p>
    <w:p w14:paraId="666369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安全计算环境：针对待测评系统的计算环境进行全面评估，包括身份鉴别、访问控制、安全审计、入侵防范、恶意代码防范、剩余信息保护、数据完整性、数据保密性、数据备份恢复等方面。确保计算环境中用户身份真实可靠、访问权限得到合理控制、系统能够及时发现和处理安全事件、数据在存储和传输过程中得到有效保护，并在发生数据丢失或损坏时能够及时恢复。</w:t>
      </w:r>
    </w:p>
    <w:p w14:paraId="5E9300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安全管理中心：如系统设有安全管理中心，须对其功能和管理效果进行测评，包括系统管理、审计管理、安全管理等方面。核查安全管理中心是否能够对待测评系统的安全策略进行集中管理和配置，是否能够对系统安全事件进行实时监测和审计分析，是否能够提供有效的安全管理手段和决策支持。</w:t>
      </w:r>
    </w:p>
    <w:p w14:paraId="31A8968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安全管理制度：评估系统是否建立了完善的安全管理制度体系，包括安全策略、管理制度、操作规程等不同层次的文件。核查制度内容是否全面合理、是否符合国家相关法律法规和标准要求、是否明确了各岗位的安全职责和操作流程，以及制度的执行情况和更新机制是否有效。</w:t>
      </w:r>
    </w:p>
    <w:p w14:paraId="73594C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安全管理机构：对系统的安全管理机构设置和人员配备情况进行测评，包括安全管理机构的职责划分、人员岗位职责、人员配备数量和专业素质等方面。确保安全管理机构能够有效履行安全管理职责，具备足够的专业人员开展日常安全管理工作，且人员职责明确、分工合理。</w:t>
      </w:r>
    </w:p>
    <w:p w14:paraId="4FEF1D9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安全管理人员：评估安全管理人员的安全意识、安全技能和安全管理能力，包括人员培训情况、安全资质认证、安全考核等方面。要求安全管理人员具备相应的网络安全知识和技能，熟悉系统的安全管理制度和操作流程，能够及时发现和处理安全事件，并定期接受安全培训和考核，持续提升安全管理水平。</w:t>
      </w:r>
    </w:p>
    <w:p w14:paraId="6E33303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安全建设管理：对系统的安全建设过程进行测评，包括项目立项、方案设计、产品采购、软件开发、系统集成、测试验收等各环节的安全管理情况。核查项目建设过程中是否充分考虑网络安全因素、是否按照相关标准和规范进行安全设计和实施、是否对采购的产品和服务进行安全性评估和验收，以及是否建立了完善的项目文档和安全审计机制。</w:t>
      </w:r>
    </w:p>
    <w:p w14:paraId="4D984C1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安全运维管理：评估系统的安全运维管理体系和运维流程，包括设备维护、漏洞管理、备份与恢复、应急响应等方面。确保运维人员能够按照规定的流程和标准对系统进行日常维护和管理，及时识别和处理系统漏洞，定期开展数据备份和恢复演练，制定完善的应急预案并能够快速有效地响应和处理安全事件。</w:t>
      </w:r>
    </w:p>
    <w:p w14:paraId="3317FDA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实施要求：（1）所有参与本项目的人员须在进场服务前与采购人签订具有法律效力的保密协议，承诺对服务过程中接触到的任何非公开信息、业务数据、技术细节及安全漏洞等承担永久保密义务，服务人员须接受采购人现场工作纪律管理。</w:t>
      </w:r>
    </w:p>
    <w:p w14:paraId="3A27E7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期内，成交供应商须为本次测评的系统提供7×24小时信息安全咨询服务，协助采购人应对日常安全咨询及突发安全事件的技术研判。服务期内，如测评系统因业务需求进行版本迭代升级或发生重大配置变更，成交供应商须无条件对变更后的系统开展补充测评或复评工作，确保系统持续满足等级保护三级要求。</w:t>
      </w:r>
    </w:p>
    <w:p w14:paraId="5D84B8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（3）成交供应商应按照等保2.0标准成立测评服务团队，配备具备专业能力资质的技术人员为本项目服务。</w:t>
      </w:r>
    </w:p>
    <w:p w14:paraId="77DE5D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测评过程中使用的所有工具、脚本、平台及其产生的中间数据、日志和结果，均须在采购人授权与监控范围内进行操作。成交供应商所使用的网络安全等级保护检查工具箱须具备《国家信息安全漏洞库兼容性资质证书》（提供证书复印件并加盖原厂公章），非工具制造商须提供产品授权使用证明。相关数据须在安全受控环境中处理与存储，项目结束后须在采购人监督下彻底清除所有关联敏感数据。</w:t>
      </w:r>
    </w:p>
    <w:p w14:paraId="0E673F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项目实施须遵循“最小必要”和“安全可控”原则，实行权限最小化与操作全流程审计。禁止进行可能影响系统稳定性或数据完整性的高危操作，必要的渗透测试等行为须事先制定应急预案并获得采购人书面授权。</w:t>
      </w:r>
    </w:p>
    <w:p w14:paraId="5CD119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成交供应商对项目全过程中产生、接收或知悉的所有文档、报告、漏洞详情等成果物，成交供应商须采取加密存储、访问控制等保护措施。所有成果物的交付、流转与最终处置均须通过安全渠道并在双方确认下完成。</w:t>
      </w:r>
    </w:p>
    <w:p w14:paraId="041DA3B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成交供应商须承诺在服务期内为采购人提供网络与信息安全信息通报服务工作。依照《重庆市网络与信息安全信息通报工作规范》要求，成交供应商须协助采购人完善网络安全事件应急处置机制建设，落实本单位网络安全应急处置通报工作。</w:t>
      </w:r>
    </w:p>
    <w:p w14:paraId="4EB16A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在服务期内，供应商须无条件协助采购人按属地公安机关及上级监管部门要求，在指定网络安全管理平台中如实、完整填报被测评系统的相关信息，包括但不限于系统定级信息、测评结果数据、备案信息变更等，确保信息填报的及时性和准确性。</w:t>
      </w:r>
    </w:p>
    <w:p w14:paraId="6BE233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36D8775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137CE7F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63DC1222">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079FBC7D">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5FF61508">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38D8A317">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p>
    <w:p w14:paraId="1942AD56">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方正仿宋_GBK" w:hAnsi="方正仿宋_GBK" w:eastAsia="方正仿宋_GBK"/>
          <w:sz w:val="28"/>
          <w:szCs w:val="28"/>
          <w:lang w:val="en-US" w:eastAsia="zh-CN"/>
        </w:rPr>
      </w:pPr>
    </w:p>
    <w:p w14:paraId="203A76E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8CF212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EC40250">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AE7301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B2ED35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01FBB1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86EE8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DFA506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987DFF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C68141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B0F905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E13A7B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A43EDA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611075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0BD09B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7"/>
      <w:bookmarkEnd w:id="78"/>
      <w:bookmarkEnd w:id="79"/>
      <w:bookmarkEnd w:id="80"/>
      <w:bookmarkEnd w:id="81"/>
      <w:bookmarkStart w:id="82" w:name="_Toc11641055"/>
      <w:bookmarkStart w:id="83" w:name="_Toc12789059"/>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4" w:name="_Toc11645"/>
      <w:bookmarkStart w:id="85" w:name="_Toc7358"/>
      <w:bookmarkStart w:id="86" w:name="_Toc485108793"/>
      <w:bookmarkStart w:id="87" w:name="_Toc4035697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2DE811B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1.服务地点：重庆医科大学附属永川医院。</w:t>
      </w:r>
    </w:p>
    <w:p w14:paraId="27DA25D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2.考核方式</w:t>
      </w:r>
    </w:p>
    <w:p w14:paraId="46D8075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（1）测评过程中不得影响采购人信息系统正常运行，因成交供应商操作不当导致系统崩溃、网络瘫痪、数据丢失等事故，由成交供应商承担全部责任及相应赔偿。</w:t>
      </w:r>
    </w:p>
    <w:p w14:paraId="3C9B247A">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服务期内，若测评范围内任一系统被上级监管部门通报网络安全或数据安全问题，经认定属于成交供应商测评工作疏漏或整改指导不到位所致，扣减服务费1万元/次。同时，采购人保留依法追究成交供应商法律责任的权利。</w:t>
      </w:r>
    </w:p>
    <w:p w14:paraId="4ABA5201">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（3）服务期内，成交供应商须保持7×24小时信息安全咨询服务电话畅通。若采购人拨打服务电话无人接听且成交供应商未在30分钟内回拨，经核实确认后，每次扣减服务费0.1万元。</w:t>
      </w:r>
    </w:p>
    <w:p w14:paraId="3C85FB4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3.报价方式：</w:t>
      </w:r>
      <w:r>
        <w:rPr>
          <w:rFonts w:hint="eastAsia" w:ascii="宋体" w:hAnsi="宋体" w:eastAsia="宋体" w:cs="宋体"/>
          <w:color w:val="FF0000"/>
          <w:sz w:val="24"/>
          <w:szCs w:val="24"/>
          <w:shd w:val="clear" w:color="auto" w:fill="auto"/>
        </w:rPr>
        <w:t>本次报价须为人民币报价，包含：完成本项目所需的人工费及提供服务所需的设备或货物购买（制造）费、辅材费、</w:t>
      </w:r>
      <w:r>
        <w:rPr>
          <w:rFonts w:hint="eastAsia" w:ascii="宋体" w:hAnsi="宋体" w:eastAsia="宋体" w:cs="宋体"/>
          <w:color w:val="FF0000"/>
          <w:sz w:val="24"/>
          <w:szCs w:val="24"/>
          <w:shd w:val="clear" w:color="auto" w:fill="auto"/>
          <w:lang w:val="en-US" w:eastAsia="zh-CN"/>
        </w:rPr>
        <w:t>运输</w:t>
      </w:r>
      <w:r>
        <w:rPr>
          <w:rFonts w:hint="eastAsia" w:ascii="宋体" w:hAnsi="宋体" w:eastAsia="宋体" w:cs="宋体"/>
          <w:color w:val="FF0000"/>
          <w:sz w:val="24"/>
          <w:szCs w:val="24"/>
          <w:shd w:val="clear" w:color="auto" w:fill="auto"/>
        </w:rPr>
        <w:t>费</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保险费</w:t>
      </w:r>
      <w:r>
        <w:rPr>
          <w:rFonts w:hint="eastAsia" w:ascii="宋体" w:hAnsi="宋体" w:eastAsia="宋体" w:cs="宋体"/>
          <w:color w:val="FF0000"/>
          <w:sz w:val="24"/>
          <w:szCs w:val="24"/>
          <w:shd w:val="clear" w:color="auto" w:fill="auto"/>
        </w:rPr>
        <w:t>及各种应纳的税费等完成本项目的所有费用。因</w:t>
      </w:r>
      <w:r>
        <w:rPr>
          <w:rFonts w:hint="eastAsia" w:ascii="宋体" w:hAnsi="宋体" w:eastAsia="宋体" w:cs="宋体"/>
          <w:color w:val="FF0000"/>
          <w:sz w:val="24"/>
          <w:szCs w:val="24"/>
          <w:shd w:val="clear" w:color="auto" w:fill="auto"/>
          <w:lang w:eastAsia="zh-CN"/>
        </w:rPr>
        <w:t>参选供应商</w:t>
      </w:r>
      <w:r>
        <w:rPr>
          <w:rFonts w:hint="eastAsia" w:ascii="宋体" w:hAnsi="宋体" w:eastAsia="宋体" w:cs="宋体"/>
          <w:color w:val="FF0000"/>
          <w:sz w:val="24"/>
          <w:szCs w:val="24"/>
          <w:shd w:val="clear" w:color="auto" w:fill="auto"/>
        </w:rPr>
        <w:t>自身原因造成漏报、少报皆由其自行承担责任，采购人不再补偿。</w:t>
      </w:r>
    </w:p>
    <w:p w14:paraId="3EC25C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4.付款方式：</w:t>
      </w:r>
    </w:p>
    <w:p w14:paraId="7CB04CC0">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（1）成交供应商完成全部6个系统的等级保护测评工作，出具各系统《网络安全等级保护测评报告》，并协助采购人完成整改指导工作后，医院向成交供应商支付合同总金额的50%。</w:t>
      </w:r>
    </w:p>
    <w:p w14:paraId="32A029E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（2）服务期满后，经采购人确认服务期内未触发考核方式约定的扣款事项，采购人向成交供应商支付剩余50%的合同款项。若触发考核方式约定的扣款事项，则按考核条款据实扣减后支付剩余金额。</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84"/>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85"/>
      <w:bookmarkEnd w:id="86"/>
      <w:bookmarkEnd w:id="87"/>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82"/>
      <w:bookmarkEnd w:id="83"/>
      <w:bookmarkStart w:id="88" w:name="_Toc26989"/>
      <w:bookmarkStart w:id="89" w:name="_Toc14840"/>
      <w:bookmarkStart w:id="90" w:name="_Toc485108794"/>
      <w:bookmarkStart w:id="91" w:name="_Toc15711"/>
      <w:bookmarkStart w:id="92" w:name="_Toc403569796"/>
      <w:bookmarkStart w:id="93" w:name="_Toc303945820"/>
      <w:bookmarkStart w:id="94"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8"/>
      <w:bookmarkEnd w:id="89"/>
      <w:bookmarkEnd w:id="90"/>
      <w:bookmarkEnd w:id="91"/>
      <w:bookmarkEnd w:id="92"/>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30815"/>
      <w:bookmarkStart w:id="96" w:name="_Toc54718202"/>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95"/>
      <w:bookmarkEnd w:id="96"/>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7"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7"/>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8"/>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9"/>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0"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100"/>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101"/>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2" w:name="_Toc17879"/>
      <w:bookmarkStart w:id="103"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102"/>
      <w:bookmarkEnd w:id="103"/>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104"/>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54718204"/>
      <w:bookmarkStart w:id="106"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05"/>
      <w:bookmarkEnd w:id="106"/>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25177"/>
      <w:bookmarkStart w:id="108"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7"/>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9"/>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0"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8"/>
      <w:bookmarkEnd w:id="110"/>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1"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11"/>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12"/>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3"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13"/>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54718206"/>
      <w:bookmarkStart w:id="115"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14"/>
      <w:bookmarkEnd w:id="115"/>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6" w:name="_Toc12985"/>
      <w:bookmarkStart w:id="117"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6"/>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7"/>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8" w:name="_Toc9053"/>
      <w:bookmarkStart w:id="119"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8"/>
      <w:bookmarkEnd w:id="119"/>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20"/>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21"/>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2"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22"/>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3" w:name="_Toc54718211"/>
      <w:bookmarkStart w:id="124" w:name="_Toc1158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23"/>
      <w:bookmarkEnd w:id="124"/>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25"/>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6"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6"/>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7" w:name="_Toc31719"/>
      <w:bookmarkStart w:id="128" w:name="_Toc54718210"/>
      <w:bookmarkStart w:id="129" w:name="_Toc26580"/>
      <w:bookmarkStart w:id="130" w:name="_Toc54718212"/>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7"/>
      <w:bookmarkEnd w:id="128"/>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31"/>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32"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32"/>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9"/>
      <w:bookmarkEnd w:id="130"/>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33"/>
      <w:bookmarkEnd w:id="134"/>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5"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35"/>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6"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6"/>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7"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7"/>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8"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8"/>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9"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9"/>
    </w:p>
    <w:bookmarkEnd w:id="93"/>
    <w:bookmarkEnd w:id="94"/>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40" w:name="_Hlt41879464"/>
      <w:bookmarkEnd w:id="140"/>
      <w:bookmarkStart w:id="141" w:name="_Toc14085"/>
      <w:bookmarkStart w:id="142" w:name="_Toc485108795"/>
      <w:bookmarkStart w:id="143" w:name="_Toc13696"/>
      <w:bookmarkStart w:id="144" w:name="_Toc12789072"/>
      <w:bookmarkStart w:id="145"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41"/>
      <w:bookmarkEnd w:id="142"/>
      <w:bookmarkEnd w:id="143"/>
      <w:bookmarkEnd w:id="144"/>
      <w:bookmarkEnd w:id="145"/>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6"/>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7"/>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8"/>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9" w:name="_Toc38358147"/>
      <w:bookmarkStart w:id="150" w:name="OLE_LINK10"/>
      <w:bookmarkStart w:id="151" w:name="OLE_LINK11"/>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9"/>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52"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52"/>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53" w:name="_Toc19884"/>
      <w:bookmarkStart w:id="154" w:name="_Toc5685"/>
      <w:bookmarkStart w:id="155"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53"/>
      <w:bookmarkEnd w:id="154"/>
      <w:bookmarkEnd w:id="155"/>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6"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6"/>
    </w:p>
    <w:bookmarkEnd w:id="150"/>
    <w:bookmarkEnd w:id="151"/>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7" w:name="_Toc342913419"/>
      <w:bookmarkStart w:id="158" w:name="_Toc5565"/>
      <w:bookmarkStart w:id="159" w:name="_Toc313008356"/>
      <w:bookmarkStart w:id="160" w:name="_Toc313888360"/>
      <w:bookmarkStart w:id="161" w:name="_Toc485108796"/>
      <w:bookmarkStart w:id="162" w:name="_Toc480979018"/>
      <w:bookmarkStart w:id="163" w:name="_Toc12789073"/>
      <w:bookmarkStart w:id="164"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7"/>
      <w:bookmarkEnd w:id="158"/>
      <w:bookmarkEnd w:id="159"/>
      <w:bookmarkEnd w:id="160"/>
      <w:bookmarkEnd w:id="161"/>
      <w:bookmarkEnd w:id="162"/>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63"/>
    <w:bookmarkEnd w:id="164"/>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FF"/>
          <w:sz w:val="24"/>
          <w:szCs w:val="24"/>
          <w:shd w:val="clear" w:color="auto" w:fill="auto"/>
        </w:rPr>
        <w:t>电子文档</w:t>
      </w:r>
      <w:r>
        <w:rPr>
          <w:rFonts w:hint="eastAsia" w:ascii="宋体" w:hAnsi="宋体" w:eastAsia="宋体" w:cs="宋体"/>
          <w:color w:val="0000FF"/>
          <w:sz w:val="24"/>
          <w:szCs w:val="24"/>
          <w:u w:val="single"/>
          <w:shd w:val="clear" w:color="auto" w:fill="auto"/>
        </w:rPr>
        <w:t xml:space="preserve">   </w:t>
      </w:r>
      <w:r>
        <w:rPr>
          <w:rFonts w:hint="eastAsia" w:ascii="宋体" w:hAnsi="宋体" w:eastAsia="宋体" w:cs="宋体"/>
          <w:color w:val="0000FF"/>
          <w:sz w:val="24"/>
          <w:szCs w:val="24"/>
          <w:shd w:val="clear" w:color="auto" w:fill="auto"/>
        </w:rPr>
        <w:t>份</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8"/>
        <w:gridCol w:w="2949"/>
        <w:gridCol w:w="2949"/>
      </w:tblGrid>
      <w:tr w14:paraId="4C12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48" w:type="dxa"/>
          </w:tcPr>
          <w:p w14:paraId="09EE83B3">
            <w:pPr>
              <w:spacing w:line="400" w:lineRule="exact"/>
              <w:jc w:val="center"/>
              <w:rPr>
                <w:rFonts w:hint="eastAsia" w:ascii="宋体" w:hAnsi="宋体" w:eastAsia="宋体" w:cs="宋体"/>
                <w:b w:val="0"/>
                <w:bCs w:val="0"/>
                <w:color w:val="000000"/>
                <w:sz w:val="24"/>
                <w:szCs w:val="24"/>
                <w:vertAlign w:val="baseline"/>
                <w:lang w:eastAsia="zh-CN"/>
              </w:rPr>
            </w:pPr>
            <w:bookmarkStart w:id="165" w:name="_Toc313888361"/>
            <w:bookmarkStart w:id="166" w:name="_Toc9883"/>
            <w:bookmarkStart w:id="167" w:name="_Toc12908"/>
            <w:bookmarkStart w:id="168" w:name="_Toc342913420"/>
            <w:bookmarkStart w:id="169" w:name="_Toc480979019"/>
            <w:bookmarkStart w:id="170" w:name="_Toc485108797"/>
            <w:bookmarkStart w:id="171" w:name="_Toc313008357"/>
            <w:r>
              <w:rPr>
                <w:rFonts w:hint="eastAsia" w:ascii="宋体" w:hAnsi="宋体" w:eastAsia="宋体" w:cs="宋体"/>
                <w:b w:val="0"/>
                <w:bCs w:val="0"/>
                <w:color w:val="000000"/>
                <w:sz w:val="24"/>
                <w:szCs w:val="24"/>
                <w:vertAlign w:val="baseline"/>
                <w:lang w:eastAsia="zh-CN"/>
              </w:rPr>
              <w:t>项目名称</w:t>
            </w:r>
          </w:p>
        </w:tc>
        <w:tc>
          <w:tcPr>
            <w:tcW w:w="2949" w:type="dxa"/>
          </w:tcPr>
          <w:p w14:paraId="35FC8281">
            <w:pPr>
              <w:spacing w:line="400" w:lineRule="exact"/>
              <w:jc w:val="center"/>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vertAlign w:val="baseline"/>
                <w:lang w:val="en-US" w:eastAsia="zh-CN"/>
              </w:rPr>
              <w:t>价格（元）</w:t>
            </w:r>
          </w:p>
        </w:tc>
        <w:tc>
          <w:tcPr>
            <w:tcW w:w="2949" w:type="dxa"/>
          </w:tcPr>
          <w:p w14:paraId="33D90FB7">
            <w:pPr>
              <w:spacing w:line="400" w:lineRule="exact"/>
              <w:jc w:val="center"/>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备注</w:t>
            </w:r>
          </w:p>
        </w:tc>
      </w:tr>
      <w:tr w14:paraId="067D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6ECB053A">
            <w:pPr>
              <w:spacing w:line="400" w:lineRule="exact"/>
              <w:jc w:val="center"/>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themeColor="text1"/>
                <w:kern w:val="0"/>
                <w:sz w:val="24"/>
                <w:szCs w:val="24"/>
                <w:lang w:eastAsia="zh-CN"/>
                <w14:textFill>
                  <w14:solidFill>
                    <w14:schemeClr w14:val="tx1"/>
                  </w14:solidFill>
                </w14:textFill>
              </w:rPr>
              <w:t>信息中心等保测评服务</w:t>
            </w:r>
          </w:p>
        </w:tc>
        <w:tc>
          <w:tcPr>
            <w:tcW w:w="2949" w:type="dxa"/>
          </w:tcPr>
          <w:p w14:paraId="78C300F8">
            <w:pPr>
              <w:spacing w:line="400" w:lineRule="exact"/>
              <w:jc w:val="center"/>
              <w:rPr>
                <w:rFonts w:hint="eastAsia" w:ascii="宋体" w:hAnsi="宋体" w:eastAsia="宋体" w:cs="宋体"/>
                <w:b w:val="0"/>
                <w:bCs w:val="0"/>
                <w:color w:val="000000"/>
                <w:sz w:val="24"/>
                <w:szCs w:val="24"/>
                <w:vertAlign w:val="baseline"/>
                <w:lang w:eastAsia="zh-CN"/>
              </w:rPr>
            </w:pPr>
          </w:p>
        </w:tc>
        <w:tc>
          <w:tcPr>
            <w:tcW w:w="2949" w:type="dxa"/>
          </w:tcPr>
          <w:p w14:paraId="1D26C746">
            <w:pPr>
              <w:spacing w:line="400" w:lineRule="exact"/>
              <w:jc w:val="center"/>
              <w:rPr>
                <w:rFonts w:hint="eastAsia" w:ascii="宋体" w:hAnsi="宋体" w:eastAsia="宋体" w:cs="宋体"/>
                <w:b w:val="0"/>
                <w:bCs w:val="0"/>
                <w:color w:val="000000"/>
                <w:sz w:val="24"/>
                <w:szCs w:val="24"/>
                <w:vertAlign w:val="baseline"/>
                <w:lang w:eastAsia="zh-CN"/>
              </w:rPr>
            </w:pPr>
          </w:p>
        </w:tc>
      </w:tr>
    </w:tbl>
    <w:p w14:paraId="5EBC5B79">
      <w:pPr>
        <w:spacing w:line="500" w:lineRule="exact"/>
        <w:rPr>
          <w:rFonts w:hint="eastAsia" w:ascii="宋体" w:hAnsi="宋体" w:eastAsia="宋体" w:cs="宋体"/>
          <w:color w:val="000000" w:themeColor="text1"/>
          <w:sz w:val="24"/>
          <w:szCs w:val="24"/>
          <w14:textFill>
            <w14:solidFill>
              <w14:schemeClr w14:val="tx1"/>
            </w14:solidFill>
          </w14:textFill>
        </w:rPr>
      </w:pPr>
      <w:r>
        <w:rPr>
          <w:rFonts w:hint="eastAsia" w:ascii="楷体" w:hAnsi="楷体" w:eastAsia="楷体"/>
          <w:b/>
          <w:bCs/>
          <w:color w:val="000000"/>
          <w:sz w:val="28"/>
          <w:szCs w:val="28"/>
          <w:lang w:eastAsia="zh-CN"/>
        </w:rPr>
        <w:t>注：</w:t>
      </w:r>
      <w:r>
        <w:rPr>
          <w:rFonts w:hint="eastAsia" w:ascii="宋体" w:hAnsi="宋体" w:eastAsia="宋体" w:cs="宋体"/>
          <w:color w:val="FF0000"/>
          <w:sz w:val="24"/>
          <w:szCs w:val="24"/>
          <w:shd w:val="clear" w:color="auto" w:fill="auto"/>
          <w:lang w:val="en-US" w:eastAsia="zh-CN"/>
        </w:rPr>
        <w:t>1.</w:t>
      </w:r>
      <w:r>
        <w:rPr>
          <w:rFonts w:hint="eastAsia" w:ascii="宋体" w:hAnsi="宋体" w:eastAsia="宋体" w:cs="宋体"/>
          <w:color w:val="FF0000"/>
          <w:sz w:val="24"/>
          <w:szCs w:val="24"/>
          <w:shd w:val="clear" w:color="auto" w:fill="auto"/>
        </w:rPr>
        <w:t>本次报价须为人民币报价，</w:t>
      </w:r>
      <w:r>
        <w:rPr>
          <w:rFonts w:hint="eastAsia" w:ascii="宋体" w:hAnsi="宋体" w:eastAsia="宋体" w:cs="宋体"/>
          <w:color w:val="FF0000"/>
          <w:sz w:val="24"/>
          <w:szCs w:val="24"/>
          <w:shd w:val="clear" w:color="auto" w:fill="auto"/>
          <w:lang w:eastAsia="zh-CN"/>
        </w:rPr>
        <w:t>且为包干价，</w:t>
      </w:r>
      <w:r>
        <w:rPr>
          <w:rFonts w:hint="eastAsia" w:ascii="宋体" w:hAnsi="宋体" w:eastAsia="宋体" w:cs="宋体"/>
          <w:color w:val="FF0000"/>
          <w:sz w:val="24"/>
          <w:szCs w:val="24"/>
          <w:shd w:val="clear" w:color="auto" w:fill="auto"/>
        </w:rPr>
        <w:t>包含</w:t>
      </w:r>
      <w:r>
        <w:rPr>
          <w:rFonts w:hint="eastAsia" w:ascii="宋体" w:hAnsi="宋体" w:eastAsia="宋体" w:cs="宋体"/>
          <w:color w:val="FF0000"/>
          <w:sz w:val="24"/>
          <w:szCs w:val="24"/>
          <w:shd w:val="clear" w:color="auto" w:fill="auto"/>
          <w:lang w:eastAsia="zh-CN"/>
        </w:rPr>
        <w:t>但不限于</w:t>
      </w:r>
      <w:r>
        <w:rPr>
          <w:rFonts w:hint="eastAsia" w:ascii="宋体" w:hAnsi="宋体" w:eastAsia="宋体" w:cs="宋体"/>
          <w:color w:val="FF0000"/>
          <w:sz w:val="24"/>
          <w:szCs w:val="24"/>
          <w:shd w:val="clear" w:color="auto" w:fill="auto"/>
        </w:rPr>
        <w:t>：完成本项目所需的人工费及提供服务所需的设备或货物购买（制造）费、辅材费、</w:t>
      </w:r>
      <w:r>
        <w:rPr>
          <w:rFonts w:hint="eastAsia" w:ascii="宋体" w:hAnsi="宋体" w:eastAsia="宋体" w:cs="宋体"/>
          <w:color w:val="FF0000"/>
          <w:sz w:val="24"/>
          <w:szCs w:val="24"/>
          <w:shd w:val="clear" w:color="auto" w:fill="auto"/>
          <w:lang w:val="en-US" w:eastAsia="zh-CN"/>
        </w:rPr>
        <w:t>运输</w:t>
      </w:r>
      <w:r>
        <w:rPr>
          <w:rFonts w:hint="eastAsia" w:ascii="宋体" w:hAnsi="宋体" w:eastAsia="宋体" w:cs="宋体"/>
          <w:color w:val="FF0000"/>
          <w:sz w:val="24"/>
          <w:szCs w:val="24"/>
          <w:shd w:val="clear" w:color="auto" w:fill="auto"/>
        </w:rPr>
        <w:t>费</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保险费</w:t>
      </w:r>
      <w:r>
        <w:rPr>
          <w:rFonts w:hint="eastAsia" w:ascii="宋体" w:hAnsi="宋体" w:eastAsia="宋体" w:cs="宋体"/>
          <w:color w:val="FF0000"/>
          <w:sz w:val="24"/>
          <w:szCs w:val="24"/>
          <w:shd w:val="clear" w:color="auto" w:fill="auto"/>
        </w:rPr>
        <w:t>及各种应纳的税费等完成本项目的所有费用。因</w:t>
      </w:r>
      <w:r>
        <w:rPr>
          <w:rFonts w:hint="eastAsia" w:ascii="宋体" w:hAnsi="宋体" w:eastAsia="宋体" w:cs="宋体"/>
          <w:color w:val="FF0000"/>
          <w:sz w:val="24"/>
          <w:szCs w:val="24"/>
          <w:shd w:val="clear" w:color="auto" w:fill="auto"/>
          <w:lang w:eastAsia="zh-CN"/>
        </w:rPr>
        <w:t>参选供应商</w:t>
      </w:r>
      <w:r>
        <w:rPr>
          <w:rFonts w:hint="eastAsia" w:ascii="宋体" w:hAnsi="宋体" w:eastAsia="宋体" w:cs="宋体"/>
          <w:color w:val="FF0000"/>
          <w:sz w:val="24"/>
          <w:szCs w:val="24"/>
          <w:shd w:val="clear" w:color="auto" w:fill="auto"/>
        </w:rPr>
        <w:t>自身原因造成漏报、少报皆由其自行承担责任，采购人不再补偿。</w:t>
      </w:r>
      <w:r>
        <w:rPr>
          <w:rFonts w:hint="eastAsia" w:ascii="宋体" w:hAnsi="宋体" w:eastAsia="宋体" w:cs="宋体"/>
          <w:szCs w:val="28"/>
          <w:lang w:val="en-US" w:eastAsia="zh-CN"/>
        </w:rPr>
        <w:t>。</w:t>
      </w:r>
    </w:p>
    <w:p w14:paraId="7667E69E">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供应商名称（公章）或自然人签署：</w:t>
      </w:r>
    </w:p>
    <w:p w14:paraId="3ADF4C3D">
      <w:pPr>
        <w:spacing w:line="500" w:lineRule="exact"/>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年     月     日</w:t>
      </w:r>
    </w:p>
    <w:p w14:paraId="242D17C9">
      <w:pPr>
        <w:outlineLvl w:val="0"/>
        <w:rPr>
          <w:rFonts w:hint="eastAsia" w:ascii="宋体" w:hAnsi="宋体" w:eastAsia="宋体" w:cs="宋体"/>
          <w:b/>
          <w:color w:val="000000" w:themeColor="text1"/>
          <w:shd w:val="clear" w:color="auto" w:fill="auto"/>
          <w14:textFill>
            <w14:solidFill>
              <w14:schemeClr w14:val="tx1"/>
            </w14:solidFill>
          </w14:textFill>
        </w:rPr>
      </w:pPr>
    </w:p>
    <w:p w14:paraId="0FCAB365">
      <w:pPr>
        <w:outlineLvl w:val="0"/>
        <w:rPr>
          <w:rFonts w:hint="eastAsia" w:ascii="宋体" w:hAnsi="宋体" w:eastAsia="宋体" w:cs="宋体"/>
          <w:b/>
          <w:color w:val="000000" w:themeColor="text1"/>
          <w:shd w:val="clear" w:color="auto" w:fill="auto"/>
          <w14:textFill>
            <w14:solidFill>
              <w14:schemeClr w14:val="tx1"/>
            </w14:solidFill>
          </w14:textFill>
        </w:rPr>
      </w:pPr>
    </w:p>
    <w:p w14:paraId="155125B7">
      <w:pPr>
        <w:outlineLvl w:val="0"/>
        <w:rPr>
          <w:rFonts w:hint="eastAsia" w:ascii="宋体" w:hAnsi="宋体" w:eastAsia="宋体" w:cs="宋体"/>
          <w:b/>
          <w:color w:val="000000" w:themeColor="text1"/>
          <w:shd w:val="clear" w:color="auto" w:fill="auto"/>
          <w14:textFill>
            <w14:solidFill>
              <w14:schemeClr w14:val="tx1"/>
            </w14:solidFill>
          </w14:textFill>
        </w:rPr>
      </w:pPr>
    </w:p>
    <w:p w14:paraId="77922480">
      <w:pPr>
        <w:outlineLvl w:val="0"/>
        <w:rPr>
          <w:rFonts w:hint="eastAsia" w:ascii="宋体" w:hAnsi="宋体" w:eastAsia="宋体" w:cs="宋体"/>
          <w:b/>
          <w:color w:val="000000" w:themeColor="text1"/>
          <w:shd w:val="clear" w:color="auto" w:fill="auto"/>
          <w14:textFill>
            <w14:solidFill>
              <w14:schemeClr w14:val="tx1"/>
            </w14:solidFill>
          </w14:textFill>
        </w:rPr>
      </w:pPr>
    </w:p>
    <w:p w14:paraId="6F54316F">
      <w:pPr>
        <w:outlineLvl w:val="0"/>
        <w:rPr>
          <w:rFonts w:hint="eastAsia" w:ascii="宋体" w:hAnsi="宋体" w:eastAsia="宋体" w:cs="宋体"/>
          <w:b/>
          <w:color w:val="000000" w:themeColor="text1"/>
          <w:shd w:val="clear" w:color="auto" w:fill="auto"/>
          <w14:textFill>
            <w14:solidFill>
              <w14:schemeClr w14:val="tx1"/>
            </w14:solidFill>
          </w14:textFill>
        </w:rPr>
      </w:pPr>
    </w:p>
    <w:p w14:paraId="4043016C">
      <w:pPr>
        <w:outlineLvl w:val="0"/>
        <w:rPr>
          <w:rFonts w:hint="eastAsia" w:ascii="宋体" w:hAnsi="宋体" w:eastAsia="宋体" w:cs="宋体"/>
          <w:b/>
          <w:color w:val="000000" w:themeColor="text1"/>
          <w:shd w:val="clear" w:color="auto" w:fill="auto"/>
          <w14:textFill>
            <w14:solidFill>
              <w14:schemeClr w14:val="tx1"/>
            </w14:solidFill>
          </w14:textFill>
        </w:rPr>
      </w:pPr>
    </w:p>
    <w:p w14:paraId="19E69BEB">
      <w:pPr>
        <w:outlineLvl w:val="0"/>
        <w:rPr>
          <w:rFonts w:hint="eastAsia" w:ascii="宋体" w:hAnsi="宋体" w:eastAsia="宋体" w:cs="宋体"/>
          <w:b/>
          <w:color w:val="000000" w:themeColor="text1"/>
          <w:shd w:val="clear" w:color="auto" w:fill="auto"/>
          <w14:textFill>
            <w14:solidFill>
              <w14:schemeClr w14:val="tx1"/>
            </w14:solidFill>
          </w14:textFill>
        </w:rPr>
      </w:pPr>
    </w:p>
    <w:p w14:paraId="712A3E5D">
      <w:pPr>
        <w:outlineLvl w:val="0"/>
        <w:rPr>
          <w:rFonts w:hint="eastAsia" w:ascii="宋体" w:hAnsi="宋体" w:eastAsia="宋体" w:cs="宋体"/>
          <w:b/>
          <w:color w:val="000000" w:themeColor="text1"/>
          <w:shd w:val="clear" w:color="auto" w:fill="auto"/>
          <w14:textFill>
            <w14:solidFill>
              <w14:schemeClr w14:val="tx1"/>
            </w14:solidFill>
          </w14:textFill>
        </w:rPr>
      </w:pPr>
    </w:p>
    <w:p w14:paraId="06A15DE4">
      <w:pPr>
        <w:outlineLvl w:val="0"/>
        <w:rPr>
          <w:rFonts w:hint="eastAsia" w:ascii="宋体" w:hAnsi="宋体" w:eastAsia="宋体" w:cs="宋体"/>
          <w:b/>
          <w:color w:val="000000" w:themeColor="text1"/>
          <w:shd w:val="clear" w:color="auto" w:fill="auto"/>
          <w14:textFill>
            <w14:solidFill>
              <w14:schemeClr w14:val="tx1"/>
            </w14:solidFill>
          </w14:textFill>
        </w:rPr>
      </w:pPr>
    </w:p>
    <w:p w14:paraId="1445E058">
      <w:pPr>
        <w:outlineLvl w:val="0"/>
        <w:rPr>
          <w:rFonts w:hint="eastAsia" w:ascii="宋体" w:hAnsi="宋体" w:eastAsia="宋体" w:cs="宋体"/>
          <w:b/>
          <w:color w:val="000000" w:themeColor="text1"/>
          <w:shd w:val="clear" w:color="auto" w:fill="auto"/>
          <w14:textFill>
            <w14:solidFill>
              <w14:schemeClr w14:val="tx1"/>
            </w14:solidFill>
          </w14:textFill>
        </w:rPr>
      </w:pPr>
    </w:p>
    <w:p w14:paraId="24574482">
      <w:pPr>
        <w:outlineLvl w:val="0"/>
        <w:rPr>
          <w:rFonts w:hint="eastAsia" w:ascii="宋体" w:hAnsi="宋体" w:eastAsia="宋体" w:cs="宋体"/>
          <w:b/>
          <w:color w:val="000000" w:themeColor="text1"/>
          <w:shd w:val="clear" w:color="auto" w:fill="auto"/>
          <w14:textFill>
            <w14:solidFill>
              <w14:schemeClr w14:val="tx1"/>
            </w14:solidFill>
          </w14:textFill>
        </w:rPr>
      </w:pPr>
    </w:p>
    <w:p w14:paraId="1AEE165B">
      <w:pPr>
        <w:outlineLvl w:val="0"/>
        <w:rPr>
          <w:rFonts w:hint="eastAsia" w:ascii="宋体" w:hAnsi="宋体" w:eastAsia="宋体" w:cs="宋体"/>
          <w:b/>
          <w:color w:val="000000" w:themeColor="text1"/>
          <w:shd w:val="clear" w:color="auto" w:fill="auto"/>
          <w14:textFill>
            <w14:solidFill>
              <w14:schemeClr w14:val="tx1"/>
            </w14:solidFill>
          </w14:textFill>
        </w:rPr>
      </w:pPr>
    </w:p>
    <w:p w14:paraId="599F7A9A">
      <w:pPr>
        <w:outlineLvl w:val="0"/>
        <w:rPr>
          <w:rFonts w:hint="eastAsia" w:ascii="宋体" w:hAnsi="宋体" w:eastAsia="宋体" w:cs="宋体"/>
          <w:b/>
          <w:color w:val="000000" w:themeColor="text1"/>
          <w:shd w:val="clear" w:color="auto" w:fill="auto"/>
          <w14:textFill>
            <w14:solidFill>
              <w14:schemeClr w14:val="tx1"/>
            </w14:solidFill>
          </w14:textFill>
        </w:rPr>
      </w:pPr>
    </w:p>
    <w:p w14:paraId="4BAD9C20">
      <w:pPr>
        <w:outlineLvl w:val="0"/>
        <w:rPr>
          <w:rFonts w:hint="eastAsia" w:ascii="宋体" w:hAnsi="宋体" w:eastAsia="宋体" w:cs="宋体"/>
          <w:b/>
          <w:color w:val="000000" w:themeColor="text1"/>
          <w:shd w:val="clear" w:color="auto" w:fill="auto"/>
          <w14:textFill>
            <w14:solidFill>
              <w14:schemeClr w14:val="tx1"/>
            </w14:solidFill>
          </w14:textFill>
        </w:rPr>
      </w:pPr>
    </w:p>
    <w:p w14:paraId="59866008">
      <w:pPr>
        <w:outlineLvl w:val="0"/>
        <w:rPr>
          <w:rFonts w:hint="eastAsia" w:ascii="宋体" w:hAnsi="宋体" w:eastAsia="宋体" w:cs="宋体"/>
          <w:b/>
          <w:color w:val="000000" w:themeColor="text1"/>
          <w:shd w:val="clear" w:color="auto" w:fill="auto"/>
          <w14:textFill>
            <w14:solidFill>
              <w14:schemeClr w14:val="tx1"/>
            </w14:solidFill>
          </w14:textFill>
        </w:rPr>
      </w:pPr>
    </w:p>
    <w:p w14:paraId="107F2AEA">
      <w:pPr>
        <w:outlineLvl w:val="0"/>
        <w:rPr>
          <w:rFonts w:hint="eastAsia" w:ascii="宋体" w:hAnsi="宋体" w:eastAsia="宋体" w:cs="宋体"/>
          <w:b/>
          <w:color w:val="000000" w:themeColor="text1"/>
          <w:shd w:val="clear" w:color="auto" w:fill="auto"/>
          <w14:textFill>
            <w14:solidFill>
              <w14:schemeClr w14:val="tx1"/>
            </w14:solidFill>
          </w14:textFill>
        </w:rPr>
      </w:pPr>
    </w:p>
    <w:p w14:paraId="287DAEE1">
      <w:pPr>
        <w:outlineLvl w:val="0"/>
        <w:rPr>
          <w:rFonts w:hint="eastAsia" w:ascii="宋体" w:hAnsi="宋体" w:eastAsia="宋体" w:cs="宋体"/>
          <w:b/>
          <w:color w:val="000000" w:themeColor="text1"/>
          <w:shd w:val="clear" w:color="auto" w:fill="auto"/>
          <w14:textFill>
            <w14:solidFill>
              <w14:schemeClr w14:val="tx1"/>
            </w14:solidFill>
          </w14:textFill>
        </w:rPr>
      </w:pPr>
    </w:p>
    <w:p w14:paraId="154C2687">
      <w:pPr>
        <w:outlineLvl w:val="0"/>
        <w:rPr>
          <w:rFonts w:hint="eastAsia" w:ascii="宋体" w:hAnsi="宋体" w:eastAsia="宋体" w:cs="宋体"/>
          <w:b/>
          <w:color w:val="000000" w:themeColor="text1"/>
          <w:shd w:val="clear" w:color="auto" w:fill="auto"/>
          <w14:textFill>
            <w14:solidFill>
              <w14:schemeClr w14:val="tx1"/>
            </w14:solidFill>
          </w14:textFill>
        </w:rPr>
      </w:pPr>
    </w:p>
    <w:p w14:paraId="7E7D84D3">
      <w:pPr>
        <w:outlineLvl w:val="0"/>
        <w:rPr>
          <w:rFonts w:hint="eastAsia" w:ascii="宋体" w:hAnsi="宋体" w:eastAsia="宋体" w:cs="宋体"/>
          <w:b/>
          <w:color w:val="000000" w:themeColor="text1"/>
          <w:shd w:val="clear" w:color="auto" w:fill="auto"/>
          <w14:textFill>
            <w14:solidFill>
              <w14:schemeClr w14:val="tx1"/>
            </w14:solidFill>
          </w14:textFill>
        </w:rPr>
      </w:pPr>
    </w:p>
    <w:p w14:paraId="02682F7E">
      <w:pPr>
        <w:outlineLvl w:val="0"/>
        <w:rPr>
          <w:rFonts w:hint="eastAsia" w:ascii="宋体" w:hAnsi="宋体" w:eastAsia="宋体" w:cs="宋体"/>
          <w:b/>
          <w:color w:val="000000" w:themeColor="text1"/>
          <w:shd w:val="clear" w:color="auto" w:fill="auto"/>
          <w14:textFill>
            <w14:solidFill>
              <w14:schemeClr w14:val="tx1"/>
            </w14:solidFill>
          </w14:textFill>
        </w:rPr>
      </w:pPr>
    </w:p>
    <w:p w14:paraId="3FAB22E9">
      <w:pPr>
        <w:outlineLvl w:val="0"/>
        <w:rPr>
          <w:rFonts w:hint="eastAsia" w:ascii="宋体" w:hAnsi="宋体" w:eastAsia="宋体" w:cs="宋体"/>
          <w:b/>
          <w:color w:val="000000" w:themeColor="text1"/>
          <w:shd w:val="clear" w:color="auto" w:fill="auto"/>
          <w14:textFill>
            <w14:solidFill>
              <w14:schemeClr w14:val="tx1"/>
            </w14:solidFill>
          </w14:textFill>
        </w:rPr>
      </w:pPr>
    </w:p>
    <w:p w14:paraId="5BF72AA2">
      <w:pPr>
        <w:outlineLvl w:val="0"/>
        <w:rPr>
          <w:rFonts w:hint="eastAsia" w:ascii="宋体" w:hAnsi="宋体" w:eastAsia="宋体" w:cs="宋体"/>
          <w:b/>
          <w:color w:val="000000" w:themeColor="text1"/>
          <w:shd w:val="clear" w:color="auto" w:fill="auto"/>
          <w14:textFill>
            <w14:solidFill>
              <w14:schemeClr w14:val="tx1"/>
            </w14:solidFill>
          </w14:textFill>
        </w:rPr>
      </w:pPr>
    </w:p>
    <w:p w14:paraId="691573F4">
      <w:pPr>
        <w:outlineLvl w:val="0"/>
        <w:rPr>
          <w:rFonts w:hint="eastAsia" w:ascii="宋体" w:hAnsi="宋体" w:eastAsia="宋体" w:cs="宋体"/>
          <w:b/>
          <w:color w:val="000000" w:themeColor="text1"/>
          <w:shd w:val="clear" w:color="auto" w:fill="auto"/>
          <w14:textFill>
            <w14:solidFill>
              <w14:schemeClr w14:val="tx1"/>
            </w14:solidFill>
          </w14:textFill>
        </w:rPr>
      </w:pPr>
    </w:p>
    <w:p w14:paraId="722AFB70">
      <w:pPr>
        <w:outlineLvl w:val="0"/>
        <w:rPr>
          <w:rFonts w:hint="eastAsia" w:ascii="宋体" w:hAnsi="宋体" w:eastAsia="宋体" w:cs="宋体"/>
          <w:b/>
          <w:color w:val="000000" w:themeColor="text1"/>
          <w:shd w:val="clear" w:color="auto" w:fill="auto"/>
          <w14:textFill>
            <w14:solidFill>
              <w14:schemeClr w14:val="tx1"/>
            </w14:solidFill>
          </w14:textFill>
        </w:rPr>
      </w:pPr>
    </w:p>
    <w:p w14:paraId="13462850">
      <w:pPr>
        <w:outlineLvl w:val="0"/>
        <w:rPr>
          <w:rFonts w:hint="eastAsia" w:ascii="宋体" w:hAnsi="宋体" w:eastAsia="宋体" w:cs="宋体"/>
          <w:b/>
          <w:color w:val="000000" w:themeColor="text1"/>
          <w:shd w:val="clear" w:color="auto" w:fill="auto"/>
          <w14:textFill>
            <w14:solidFill>
              <w14:schemeClr w14:val="tx1"/>
            </w14:solidFill>
          </w14:textFill>
        </w:rPr>
      </w:pPr>
    </w:p>
    <w:p w14:paraId="326B861C">
      <w:pPr>
        <w:outlineLvl w:val="0"/>
        <w:rPr>
          <w:rFonts w:hint="eastAsia" w:ascii="宋体" w:hAnsi="宋体" w:eastAsia="宋体" w:cs="宋体"/>
          <w:b/>
          <w:color w:val="000000" w:themeColor="text1"/>
          <w:shd w:val="clear" w:color="auto" w:fill="auto"/>
          <w14:textFill>
            <w14:solidFill>
              <w14:schemeClr w14:val="tx1"/>
            </w14:solidFill>
          </w14:textFill>
        </w:rPr>
      </w:pPr>
    </w:p>
    <w:p w14:paraId="039F1FC8">
      <w:pPr>
        <w:outlineLvl w:val="0"/>
        <w:rPr>
          <w:rFonts w:hint="eastAsia" w:ascii="宋体" w:hAnsi="宋体" w:eastAsia="宋体" w:cs="宋体"/>
          <w:b/>
          <w:color w:val="000000" w:themeColor="text1"/>
          <w:shd w:val="clear" w:color="auto" w:fill="auto"/>
          <w14:textFill>
            <w14:solidFill>
              <w14:schemeClr w14:val="tx1"/>
            </w14:solidFill>
          </w14:textFill>
        </w:rPr>
      </w:pPr>
    </w:p>
    <w:p w14:paraId="77DB1D8E">
      <w:pPr>
        <w:outlineLvl w:val="0"/>
        <w:rPr>
          <w:rFonts w:hint="eastAsia" w:ascii="宋体" w:hAnsi="宋体" w:eastAsia="宋体" w:cs="宋体"/>
          <w:b/>
          <w:color w:val="000000" w:themeColor="text1"/>
          <w:shd w:val="clear" w:color="auto" w:fill="auto"/>
          <w14:textFill>
            <w14:solidFill>
              <w14:schemeClr w14:val="tx1"/>
            </w14:solidFill>
          </w14:textFill>
        </w:rPr>
      </w:pPr>
    </w:p>
    <w:p w14:paraId="79E49CFF">
      <w:pPr>
        <w:outlineLvl w:val="0"/>
        <w:rPr>
          <w:rFonts w:hint="eastAsia" w:ascii="宋体" w:hAnsi="宋体" w:eastAsia="宋体" w:cs="宋体"/>
          <w:b/>
          <w:color w:val="000000" w:themeColor="text1"/>
          <w:shd w:val="clear" w:color="auto" w:fill="auto"/>
          <w14:textFill>
            <w14:solidFill>
              <w14:schemeClr w14:val="tx1"/>
            </w14:solidFill>
          </w14:textFill>
        </w:rPr>
      </w:pPr>
    </w:p>
    <w:p w14:paraId="0E5D38D0">
      <w:pPr>
        <w:outlineLvl w:val="0"/>
        <w:rPr>
          <w:rFonts w:hint="eastAsia" w:ascii="宋体" w:hAnsi="宋体" w:eastAsia="宋体" w:cs="宋体"/>
          <w:b/>
          <w:color w:val="000000" w:themeColor="text1"/>
          <w:shd w:val="clear" w:color="auto" w:fill="auto"/>
          <w14:textFill>
            <w14:solidFill>
              <w14:schemeClr w14:val="tx1"/>
            </w14:solidFill>
          </w14:textFill>
        </w:rPr>
      </w:pPr>
    </w:p>
    <w:p w14:paraId="24C35F1F">
      <w:pPr>
        <w:outlineLvl w:val="0"/>
        <w:rPr>
          <w:rFonts w:hint="eastAsia" w:ascii="宋体" w:hAnsi="宋体" w:eastAsia="宋体" w:cs="宋体"/>
          <w:b/>
          <w:color w:val="000000" w:themeColor="text1"/>
          <w:shd w:val="clear" w:color="auto" w:fill="auto"/>
          <w14:textFill>
            <w14:solidFill>
              <w14:schemeClr w14:val="tx1"/>
            </w14:solidFill>
          </w14:textFill>
        </w:rPr>
      </w:pPr>
    </w:p>
    <w:p w14:paraId="0C4BC7FE">
      <w:pPr>
        <w:outlineLvl w:val="0"/>
        <w:rPr>
          <w:rFonts w:hint="eastAsia" w:ascii="宋体" w:hAnsi="宋体" w:eastAsia="宋体" w:cs="宋体"/>
          <w:b/>
          <w:color w:val="000000" w:themeColor="text1"/>
          <w:shd w:val="clear" w:color="auto" w:fill="auto"/>
          <w14:textFill>
            <w14:solidFill>
              <w14:schemeClr w14:val="tx1"/>
            </w14:solidFill>
          </w14:textFill>
        </w:rPr>
      </w:pPr>
    </w:p>
    <w:p w14:paraId="17258A1B">
      <w:pPr>
        <w:outlineLvl w:val="0"/>
        <w:rPr>
          <w:rFonts w:hint="eastAsia" w:ascii="宋体" w:hAnsi="宋体" w:eastAsia="宋体" w:cs="宋体"/>
          <w:b/>
          <w:color w:val="000000" w:themeColor="text1"/>
          <w:shd w:val="clear" w:color="auto" w:fill="auto"/>
          <w14:textFill>
            <w14:solidFill>
              <w14:schemeClr w14:val="tx1"/>
            </w14:solidFill>
          </w14:textFill>
        </w:rPr>
      </w:pPr>
    </w:p>
    <w:p w14:paraId="59E9EFD0">
      <w:pPr>
        <w:outlineLvl w:val="0"/>
        <w:rPr>
          <w:rFonts w:hint="eastAsia" w:ascii="宋体" w:hAnsi="宋体" w:eastAsia="宋体" w:cs="宋体"/>
          <w:b/>
          <w:color w:val="000000" w:themeColor="text1"/>
          <w:shd w:val="clear" w:color="auto" w:fill="auto"/>
          <w14:textFill>
            <w14:solidFill>
              <w14:schemeClr w14:val="tx1"/>
            </w14:solidFill>
          </w14:textFill>
        </w:rPr>
      </w:pPr>
    </w:p>
    <w:p w14:paraId="53B19E2F">
      <w:pPr>
        <w:outlineLvl w:val="0"/>
        <w:rPr>
          <w:rFonts w:hint="eastAsia" w:ascii="宋体" w:hAnsi="宋体" w:eastAsia="宋体" w:cs="宋体"/>
          <w:b/>
          <w:color w:val="000000" w:themeColor="text1"/>
          <w:shd w:val="clear" w:color="auto" w:fill="auto"/>
          <w14:textFill>
            <w14:solidFill>
              <w14:schemeClr w14:val="tx1"/>
            </w14:solidFill>
          </w14:textFill>
        </w:rPr>
      </w:pPr>
    </w:p>
    <w:p w14:paraId="2ABEDF4E">
      <w:pPr>
        <w:outlineLvl w:val="0"/>
        <w:rPr>
          <w:rFonts w:hint="eastAsia" w:ascii="宋体" w:hAnsi="宋体" w:eastAsia="宋体" w:cs="宋体"/>
          <w:b/>
          <w:color w:val="000000" w:themeColor="text1"/>
          <w:shd w:val="clear" w:color="auto" w:fill="auto"/>
          <w14:textFill>
            <w14:solidFill>
              <w14:schemeClr w14:val="tx1"/>
            </w14:solidFill>
          </w14:textFill>
        </w:rPr>
      </w:pPr>
    </w:p>
    <w:p w14:paraId="563645C6">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65"/>
      <w:bookmarkEnd w:id="166"/>
      <w:bookmarkEnd w:id="167"/>
      <w:bookmarkEnd w:id="168"/>
      <w:bookmarkEnd w:id="169"/>
      <w:bookmarkEnd w:id="170"/>
      <w:bookmarkEnd w:id="171"/>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72" w:name="_Toc15203"/>
      <w:bookmarkStart w:id="173" w:name="_Toc480979020"/>
      <w:bookmarkStart w:id="174" w:name="_Toc485108798"/>
      <w:bookmarkStart w:id="175" w:name="_Toc13844"/>
      <w:bookmarkStart w:id="176" w:name="_Toc313888362"/>
      <w:bookmarkStart w:id="177" w:name="_Toc313008358"/>
      <w:bookmarkStart w:id="178" w:name="_Toc342913421"/>
      <w:r>
        <w:rPr>
          <w:rFonts w:hint="eastAsia" w:ascii="宋体" w:hAnsi="宋体" w:eastAsia="宋体" w:cs="宋体"/>
          <w:b/>
          <w:color w:val="000000" w:themeColor="text1"/>
          <w:shd w:val="clear" w:color="auto" w:fill="auto"/>
          <w14:textFill>
            <w14:solidFill>
              <w14:schemeClr w14:val="tx1"/>
            </w14:solidFill>
          </w14:textFill>
        </w:rPr>
        <w:t>三、商务部分</w:t>
      </w:r>
      <w:bookmarkEnd w:id="172"/>
      <w:bookmarkEnd w:id="173"/>
      <w:bookmarkEnd w:id="174"/>
      <w:bookmarkEnd w:id="175"/>
      <w:bookmarkEnd w:id="176"/>
      <w:bookmarkEnd w:id="177"/>
      <w:bookmarkEnd w:id="178"/>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9"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9"/>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80" w:name="_Toc10896"/>
      <w:bookmarkStart w:id="181"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80"/>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82"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82"/>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83" w:name="_Toc9941"/>
      <w:bookmarkStart w:id="184"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83"/>
      <w:bookmarkEnd w:id="184"/>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81"/>
      <w:bookmarkStart w:id="185" w:name="_Toc342913422"/>
      <w:bookmarkStart w:id="186" w:name="_Toc313008359"/>
      <w:bookmarkStart w:id="187" w:name="_Toc313888363"/>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85"/>
      <w:bookmarkEnd w:id="186"/>
      <w:bookmarkEnd w:id="187"/>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8" w:name="OLE_LINK4"/>
      <w:bookmarkStart w:id="189"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8"/>
    <w:bookmarkEnd w:id="189"/>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90" w:name="_Toc31463"/>
      <w:bookmarkStart w:id="191"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90"/>
    <w:bookmarkEnd w:id="191"/>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8EE03F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A51EB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FC35C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09CBC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13DA1CC">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92"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92"/>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93"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93"/>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94"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94"/>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6401A011">
      <w:pPr>
        <w:rPr>
          <w:rFonts w:hint="eastAsia" w:ascii="宋体" w:hAnsi="宋体" w:eastAsia="宋体" w:cs="宋体"/>
          <w:color w:val="000000" w:themeColor="text1"/>
          <w:shd w:val="clear" w:color="auto" w:fill="auto"/>
          <w14:textFill>
            <w14:solidFill>
              <w14:schemeClr w14:val="tx1"/>
            </w14:solidFill>
          </w14:textFill>
        </w:rPr>
      </w:pPr>
    </w:p>
    <w:p w14:paraId="66EDA16E">
      <w:pPr>
        <w:rPr>
          <w:rFonts w:hint="eastAsia" w:ascii="宋体" w:hAnsi="宋体" w:eastAsia="宋体" w:cs="宋体"/>
          <w:color w:val="000000" w:themeColor="text1"/>
          <w:shd w:val="clear" w:color="auto" w:fill="auto"/>
          <w14:textFill>
            <w14:solidFill>
              <w14:schemeClr w14:val="tx1"/>
            </w14:solidFill>
          </w14:textFill>
        </w:rPr>
      </w:pPr>
    </w:p>
    <w:p w14:paraId="561560DC">
      <w:pPr>
        <w:rPr>
          <w:rFonts w:hint="eastAsia" w:ascii="宋体" w:hAnsi="宋体" w:eastAsia="宋体" w:cs="宋体"/>
          <w:color w:val="000000" w:themeColor="text1"/>
          <w:shd w:val="clear" w:color="auto" w:fill="auto"/>
          <w14:textFill>
            <w14:solidFill>
              <w14:schemeClr w14:val="tx1"/>
            </w14:solidFill>
          </w14:textFill>
        </w:rPr>
      </w:pPr>
    </w:p>
    <w:p w14:paraId="1AF6471B">
      <w:pPr>
        <w:rPr>
          <w:rFonts w:hint="eastAsia" w:ascii="宋体" w:hAnsi="宋体" w:eastAsia="宋体" w:cs="宋体"/>
          <w:color w:val="000000" w:themeColor="text1"/>
          <w:shd w:val="clear" w:color="auto" w:fill="auto"/>
          <w14:textFill>
            <w14:solidFill>
              <w14:schemeClr w14:val="tx1"/>
            </w14:solidFill>
          </w14:textFill>
        </w:rPr>
      </w:pPr>
    </w:p>
    <w:p w14:paraId="5A9AE903">
      <w:pPr>
        <w:rPr>
          <w:color w:val="000000" w:themeColor="text1"/>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embedRegular r:id="rId1" w:fontKey="{F079D405-D011-4A5E-A362-E3CB663890E5}"/>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0DE0B963-018F-4564-8B4F-C24CEEA01F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39AA"/>
    <w:rsid w:val="00395055"/>
    <w:rsid w:val="003B5B3E"/>
    <w:rsid w:val="003C571A"/>
    <w:rsid w:val="003C65D5"/>
    <w:rsid w:val="00446003"/>
    <w:rsid w:val="0048109C"/>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53D9C"/>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114C"/>
    <w:rsid w:val="00F42D01"/>
    <w:rsid w:val="00F46D9E"/>
    <w:rsid w:val="00F612D7"/>
    <w:rsid w:val="00F77324"/>
    <w:rsid w:val="00FA72A1"/>
    <w:rsid w:val="00FF1BDE"/>
    <w:rsid w:val="01067A49"/>
    <w:rsid w:val="015A3746"/>
    <w:rsid w:val="01C63C32"/>
    <w:rsid w:val="01C6422D"/>
    <w:rsid w:val="021D673F"/>
    <w:rsid w:val="024043A7"/>
    <w:rsid w:val="027D2D3A"/>
    <w:rsid w:val="02B325DC"/>
    <w:rsid w:val="02D84414"/>
    <w:rsid w:val="02FC37CB"/>
    <w:rsid w:val="02FE0C09"/>
    <w:rsid w:val="034872EB"/>
    <w:rsid w:val="037759DB"/>
    <w:rsid w:val="03921202"/>
    <w:rsid w:val="039C4C1C"/>
    <w:rsid w:val="03BB3ADF"/>
    <w:rsid w:val="03C2134C"/>
    <w:rsid w:val="03D1158F"/>
    <w:rsid w:val="0407643C"/>
    <w:rsid w:val="04B117F8"/>
    <w:rsid w:val="04DA26C6"/>
    <w:rsid w:val="04DE1E0F"/>
    <w:rsid w:val="04F00597"/>
    <w:rsid w:val="05290F57"/>
    <w:rsid w:val="056C7A52"/>
    <w:rsid w:val="05AB6E25"/>
    <w:rsid w:val="05E64439"/>
    <w:rsid w:val="05E94CDF"/>
    <w:rsid w:val="060E092E"/>
    <w:rsid w:val="065A1406"/>
    <w:rsid w:val="067D7A0C"/>
    <w:rsid w:val="06A45EA9"/>
    <w:rsid w:val="06BC1BB0"/>
    <w:rsid w:val="072F6440"/>
    <w:rsid w:val="074B1659"/>
    <w:rsid w:val="07911761"/>
    <w:rsid w:val="07C5765D"/>
    <w:rsid w:val="07F26429"/>
    <w:rsid w:val="084C34CD"/>
    <w:rsid w:val="08605BE9"/>
    <w:rsid w:val="09310382"/>
    <w:rsid w:val="094176DB"/>
    <w:rsid w:val="0951448A"/>
    <w:rsid w:val="0983062E"/>
    <w:rsid w:val="0A676F3B"/>
    <w:rsid w:val="0ACB5503"/>
    <w:rsid w:val="0ACF458A"/>
    <w:rsid w:val="0B144AF7"/>
    <w:rsid w:val="0B204C66"/>
    <w:rsid w:val="0B340317"/>
    <w:rsid w:val="0B4623DF"/>
    <w:rsid w:val="0B6515A1"/>
    <w:rsid w:val="0B6F68C5"/>
    <w:rsid w:val="0BAE21B6"/>
    <w:rsid w:val="0BDC31C7"/>
    <w:rsid w:val="0BE1258C"/>
    <w:rsid w:val="0BE64970"/>
    <w:rsid w:val="0C033E70"/>
    <w:rsid w:val="0C1D2BB6"/>
    <w:rsid w:val="0C2F4286"/>
    <w:rsid w:val="0C3152C1"/>
    <w:rsid w:val="0C481EEF"/>
    <w:rsid w:val="0C56674E"/>
    <w:rsid w:val="0C72264C"/>
    <w:rsid w:val="0C931BB2"/>
    <w:rsid w:val="0C975B64"/>
    <w:rsid w:val="0C9D3992"/>
    <w:rsid w:val="0D32097D"/>
    <w:rsid w:val="0D7E5EAD"/>
    <w:rsid w:val="0DC167EC"/>
    <w:rsid w:val="0DCB3FCC"/>
    <w:rsid w:val="0E0E625A"/>
    <w:rsid w:val="0E38674E"/>
    <w:rsid w:val="0E4D3D6E"/>
    <w:rsid w:val="0E5721EA"/>
    <w:rsid w:val="0E5A796A"/>
    <w:rsid w:val="0E5B5064"/>
    <w:rsid w:val="0E5B6625"/>
    <w:rsid w:val="0E9859A3"/>
    <w:rsid w:val="0E987B2D"/>
    <w:rsid w:val="0EA1525B"/>
    <w:rsid w:val="0ECE4584"/>
    <w:rsid w:val="0F291536"/>
    <w:rsid w:val="0F2B66F0"/>
    <w:rsid w:val="0F31382A"/>
    <w:rsid w:val="0F9811B3"/>
    <w:rsid w:val="0FAB0EE6"/>
    <w:rsid w:val="0FB90C9C"/>
    <w:rsid w:val="0FC701EB"/>
    <w:rsid w:val="0FCD0A4F"/>
    <w:rsid w:val="0FD61CDB"/>
    <w:rsid w:val="0FD8306F"/>
    <w:rsid w:val="0FFD1C5A"/>
    <w:rsid w:val="1014334F"/>
    <w:rsid w:val="10246EEB"/>
    <w:rsid w:val="10413B50"/>
    <w:rsid w:val="104D689B"/>
    <w:rsid w:val="109D57E0"/>
    <w:rsid w:val="10B17251"/>
    <w:rsid w:val="10BA59BE"/>
    <w:rsid w:val="10BF5E9B"/>
    <w:rsid w:val="111523FC"/>
    <w:rsid w:val="111C3A01"/>
    <w:rsid w:val="114A7245"/>
    <w:rsid w:val="11782A26"/>
    <w:rsid w:val="11E44902"/>
    <w:rsid w:val="123D6042"/>
    <w:rsid w:val="13141499"/>
    <w:rsid w:val="131D034D"/>
    <w:rsid w:val="133C3066"/>
    <w:rsid w:val="134E0964"/>
    <w:rsid w:val="13633F56"/>
    <w:rsid w:val="13653AA2"/>
    <w:rsid w:val="13AF0C1F"/>
    <w:rsid w:val="13D52C1B"/>
    <w:rsid w:val="13F41DC8"/>
    <w:rsid w:val="144B1714"/>
    <w:rsid w:val="14580870"/>
    <w:rsid w:val="14B95EDB"/>
    <w:rsid w:val="14C6168E"/>
    <w:rsid w:val="14C6556D"/>
    <w:rsid w:val="14E12006"/>
    <w:rsid w:val="14E62A1D"/>
    <w:rsid w:val="15265D3F"/>
    <w:rsid w:val="154047C7"/>
    <w:rsid w:val="154C4C37"/>
    <w:rsid w:val="1554725E"/>
    <w:rsid w:val="15604521"/>
    <w:rsid w:val="156125ED"/>
    <w:rsid w:val="158D32E0"/>
    <w:rsid w:val="15D171CD"/>
    <w:rsid w:val="15DB103F"/>
    <w:rsid w:val="16167345"/>
    <w:rsid w:val="16243DF1"/>
    <w:rsid w:val="165A4E2F"/>
    <w:rsid w:val="17E52B34"/>
    <w:rsid w:val="18130842"/>
    <w:rsid w:val="181A1C79"/>
    <w:rsid w:val="18465822"/>
    <w:rsid w:val="18675712"/>
    <w:rsid w:val="188B43F5"/>
    <w:rsid w:val="18E50010"/>
    <w:rsid w:val="18F71640"/>
    <w:rsid w:val="19394057"/>
    <w:rsid w:val="199C2358"/>
    <w:rsid w:val="19B7492C"/>
    <w:rsid w:val="1A511E59"/>
    <w:rsid w:val="1A555C2C"/>
    <w:rsid w:val="1A705757"/>
    <w:rsid w:val="1AE4406F"/>
    <w:rsid w:val="1AE84C93"/>
    <w:rsid w:val="1B1D5FE3"/>
    <w:rsid w:val="1B484046"/>
    <w:rsid w:val="1B4A5E5B"/>
    <w:rsid w:val="1B925650"/>
    <w:rsid w:val="1C0025BA"/>
    <w:rsid w:val="1C1370D7"/>
    <w:rsid w:val="1C66752D"/>
    <w:rsid w:val="1C6945DA"/>
    <w:rsid w:val="1CD22D64"/>
    <w:rsid w:val="1CED540D"/>
    <w:rsid w:val="1CF33ECD"/>
    <w:rsid w:val="1CF736B7"/>
    <w:rsid w:val="1D1757E6"/>
    <w:rsid w:val="1D624A3F"/>
    <w:rsid w:val="1D632E00"/>
    <w:rsid w:val="1DCB5B8A"/>
    <w:rsid w:val="1DD87EDC"/>
    <w:rsid w:val="1DDA4D59"/>
    <w:rsid w:val="1DF92451"/>
    <w:rsid w:val="1E242829"/>
    <w:rsid w:val="1E570CBF"/>
    <w:rsid w:val="1E8652AA"/>
    <w:rsid w:val="1E9D4968"/>
    <w:rsid w:val="1EB13D33"/>
    <w:rsid w:val="1EB8776E"/>
    <w:rsid w:val="1ECC73BB"/>
    <w:rsid w:val="1EEA6CFF"/>
    <w:rsid w:val="1F062593"/>
    <w:rsid w:val="1F08489B"/>
    <w:rsid w:val="1F2D0A6E"/>
    <w:rsid w:val="1F3A098C"/>
    <w:rsid w:val="1F3D23B3"/>
    <w:rsid w:val="1F6A74CC"/>
    <w:rsid w:val="1F6D6E4A"/>
    <w:rsid w:val="1F6E11F2"/>
    <w:rsid w:val="1F8009D9"/>
    <w:rsid w:val="1FA140B4"/>
    <w:rsid w:val="1FCE723D"/>
    <w:rsid w:val="1FD702B4"/>
    <w:rsid w:val="20084BEF"/>
    <w:rsid w:val="203372B2"/>
    <w:rsid w:val="204004F3"/>
    <w:rsid w:val="204C6181"/>
    <w:rsid w:val="20FB0BC7"/>
    <w:rsid w:val="2114239C"/>
    <w:rsid w:val="211803A6"/>
    <w:rsid w:val="216435EB"/>
    <w:rsid w:val="21696E53"/>
    <w:rsid w:val="21A62601"/>
    <w:rsid w:val="21C45BE8"/>
    <w:rsid w:val="21F2776F"/>
    <w:rsid w:val="21F678C9"/>
    <w:rsid w:val="21F94F0D"/>
    <w:rsid w:val="224F1BA5"/>
    <w:rsid w:val="22EF7055"/>
    <w:rsid w:val="231132FF"/>
    <w:rsid w:val="23743B1F"/>
    <w:rsid w:val="240C0392"/>
    <w:rsid w:val="24514D5A"/>
    <w:rsid w:val="24702D9C"/>
    <w:rsid w:val="247E6D5A"/>
    <w:rsid w:val="24AB13E3"/>
    <w:rsid w:val="24E707BB"/>
    <w:rsid w:val="2501636C"/>
    <w:rsid w:val="254D6667"/>
    <w:rsid w:val="25565863"/>
    <w:rsid w:val="25B67319"/>
    <w:rsid w:val="25B7688A"/>
    <w:rsid w:val="25B91E1A"/>
    <w:rsid w:val="25FF0C6B"/>
    <w:rsid w:val="26380176"/>
    <w:rsid w:val="26A440C8"/>
    <w:rsid w:val="26D56CF3"/>
    <w:rsid w:val="26FE2E6F"/>
    <w:rsid w:val="271637DE"/>
    <w:rsid w:val="271E4A07"/>
    <w:rsid w:val="275D539C"/>
    <w:rsid w:val="27706A3C"/>
    <w:rsid w:val="27B41749"/>
    <w:rsid w:val="27BE30B5"/>
    <w:rsid w:val="27C12149"/>
    <w:rsid w:val="28031161"/>
    <w:rsid w:val="282105EF"/>
    <w:rsid w:val="282D107F"/>
    <w:rsid w:val="28377F6C"/>
    <w:rsid w:val="28580457"/>
    <w:rsid w:val="287535CD"/>
    <w:rsid w:val="28CD4235"/>
    <w:rsid w:val="28D01566"/>
    <w:rsid w:val="28E31299"/>
    <w:rsid w:val="293D6BFB"/>
    <w:rsid w:val="29430470"/>
    <w:rsid w:val="29613037"/>
    <w:rsid w:val="29A81CF0"/>
    <w:rsid w:val="29F52A7C"/>
    <w:rsid w:val="2A0526D0"/>
    <w:rsid w:val="2A0812C8"/>
    <w:rsid w:val="2B2C4917"/>
    <w:rsid w:val="2B3D6767"/>
    <w:rsid w:val="2B411C38"/>
    <w:rsid w:val="2B507DFE"/>
    <w:rsid w:val="2B57565F"/>
    <w:rsid w:val="2BBD2276"/>
    <w:rsid w:val="2C812A23"/>
    <w:rsid w:val="2C86125B"/>
    <w:rsid w:val="2CDF621C"/>
    <w:rsid w:val="2CE02E81"/>
    <w:rsid w:val="2CF2794B"/>
    <w:rsid w:val="2D9073ED"/>
    <w:rsid w:val="2DDB0955"/>
    <w:rsid w:val="2DDE0220"/>
    <w:rsid w:val="2E1F2D74"/>
    <w:rsid w:val="2E275B4F"/>
    <w:rsid w:val="2E454084"/>
    <w:rsid w:val="2E4A05E4"/>
    <w:rsid w:val="2E6141F3"/>
    <w:rsid w:val="2E8A3F18"/>
    <w:rsid w:val="2F124686"/>
    <w:rsid w:val="2F181CE6"/>
    <w:rsid w:val="2F1F1F02"/>
    <w:rsid w:val="2F2348BD"/>
    <w:rsid w:val="2F57478F"/>
    <w:rsid w:val="2F6F1AD9"/>
    <w:rsid w:val="2F831DB2"/>
    <w:rsid w:val="2F943FCB"/>
    <w:rsid w:val="2FD06C0B"/>
    <w:rsid w:val="2FF63FA8"/>
    <w:rsid w:val="30381B81"/>
    <w:rsid w:val="30A44277"/>
    <w:rsid w:val="30B15F03"/>
    <w:rsid w:val="30B30136"/>
    <w:rsid w:val="30CD7D7B"/>
    <w:rsid w:val="310B1BDB"/>
    <w:rsid w:val="31CA4358"/>
    <w:rsid w:val="31D30AC7"/>
    <w:rsid w:val="31FA7479"/>
    <w:rsid w:val="32050A97"/>
    <w:rsid w:val="32284BF5"/>
    <w:rsid w:val="32371C3A"/>
    <w:rsid w:val="324E4259"/>
    <w:rsid w:val="32A510F7"/>
    <w:rsid w:val="32DA1DD4"/>
    <w:rsid w:val="33127B8D"/>
    <w:rsid w:val="33323C73"/>
    <w:rsid w:val="3361798A"/>
    <w:rsid w:val="33861085"/>
    <w:rsid w:val="33CA5BAD"/>
    <w:rsid w:val="33F1420C"/>
    <w:rsid w:val="34311909"/>
    <w:rsid w:val="34477E1A"/>
    <w:rsid w:val="34533777"/>
    <w:rsid w:val="34B44507"/>
    <w:rsid w:val="34F86F66"/>
    <w:rsid w:val="35687566"/>
    <w:rsid w:val="35B15F88"/>
    <w:rsid w:val="35D501BC"/>
    <w:rsid w:val="35E87A5C"/>
    <w:rsid w:val="3608331B"/>
    <w:rsid w:val="36382C0F"/>
    <w:rsid w:val="36834056"/>
    <w:rsid w:val="369E4A52"/>
    <w:rsid w:val="36A73740"/>
    <w:rsid w:val="36C3312C"/>
    <w:rsid w:val="36EC0B56"/>
    <w:rsid w:val="37174BEB"/>
    <w:rsid w:val="37542B62"/>
    <w:rsid w:val="375A306E"/>
    <w:rsid w:val="379575C2"/>
    <w:rsid w:val="37D06829"/>
    <w:rsid w:val="37D83F93"/>
    <w:rsid w:val="382454DE"/>
    <w:rsid w:val="382D2437"/>
    <w:rsid w:val="38442273"/>
    <w:rsid w:val="384E006D"/>
    <w:rsid w:val="385D0EF3"/>
    <w:rsid w:val="387D36CA"/>
    <w:rsid w:val="389536A9"/>
    <w:rsid w:val="38BF4D66"/>
    <w:rsid w:val="38C010B0"/>
    <w:rsid w:val="38DE382B"/>
    <w:rsid w:val="38E86458"/>
    <w:rsid w:val="38EB2B69"/>
    <w:rsid w:val="391C67AE"/>
    <w:rsid w:val="39486CC3"/>
    <w:rsid w:val="3961128B"/>
    <w:rsid w:val="396D157A"/>
    <w:rsid w:val="39A3534F"/>
    <w:rsid w:val="39A54A5C"/>
    <w:rsid w:val="39D65068"/>
    <w:rsid w:val="3AA25DEC"/>
    <w:rsid w:val="3AC648F5"/>
    <w:rsid w:val="3B0368D1"/>
    <w:rsid w:val="3B30241A"/>
    <w:rsid w:val="3B5B756F"/>
    <w:rsid w:val="3B7C1435"/>
    <w:rsid w:val="3B870893"/>
    <w:rsid w:val="3BA13299"/>
    <w:rsid w:val="3C311F8C"/>
    <w:rsid w:val="3C4F6F1A"/>
    <w:rsid w:val="3CB70CF2"/>
    <w:rsid w:val="3D2700E2"/>
    <w:rsid w:val="3D2F290C"/>
    <w:rsid w:val="3D3375F0"/>
    <w:rsid w:val="3D4C1E7B"/>
    <w:rsid w:val="3D6E2990"/>
    <w:rsid w:val="3D79508E"/>
    <w:rsid w:val="3DC21444"/>
    <w:rsid w:val="3DD60FEB"/>
    <w:rsid w:val="3E263CAA"/>
    <w:rsid w:val="3E491747"/>
    <w:rsid w:val="3E6B192F"/>
    <w:rsid w:val="3EA55BAC"/>
    <w:rsid w:val="3EEF12C4"/>
    <w:rsid w:val="3F150346"/>
    <w:rsid w:val="3F19442F"/>
    <w:rsid w:val="3F4757B8"/>
    <w:rsid w:val="3F4A029A"/>
    <w:rsid w:val="3F4E528D"/>
    <w:rsid w:val="3F591E5E"/>
    <w:rsid w:val="3F5A6C6F"/>
    <w:rsid w:val="3F5B3812"/>
    <w:rsid w:val="3F7A393A"/>
    <w:rsid w:val="3F9F551C"/>
    <w:rsid w:val="3FC45529"/>
    <w:rsid w:val="3FE1690B"/>
    <w:rsid w:val="40113C23"/>
    <w:rsid w:val="40351638"/>
    <w:rsid w:val="403D2ACF"/>
    <w:rsid w:val="403F2E01"/>
    <w:rsid w:val="404A2E64"/>
    <w:rsid w:val="40AB0EC9"/>
    <w:rsid w:val="40C2612C"/>
    <w:rsid w:val="40E52488"/>
    <w:rsid w:val="41007A8F"/>
    <w:rsid w:val="415869FC"/>
    <w:rsid w:val="41670862"/>
    <w:rsid w:val="41AB14E8"/>
    <w:rsid w:val="41AC0B4D"/>
    <w:rsid w:val="41C52E56"/>
    <w:rsid w:val="41D4500D"/>
    <w:rsid w:val="41D67141"/>
    <w:rsid w:val="41DD2651"/>
    <w:rsid w:val="41F534A6"/>
    <w:rsid w:val="41F5463E"/>
    <w:rsid w:val="42030507"/>
    <w:rsid w:val="420A020E"/>
    <w:rsid w:val="420A1906"/>
    <w:rsid w:val="423F7EC6"/>
    <w:rsid w:val="42720834"/>
    <w:rsid w:val="428345E9"/>
    <w:rsid w:val="429D5EC0"/>
    <w:rsid w:val="42A40896"/>
    <w:rsid w:val="42A86289"/>
    <w:rsid w:val="42BD50C4"/>
    <w:rsid w:val="42CD6C16"/>
    <w:rsid w:val="42D9640E"/>
    <w:rsid w:val="433E3844"/>
    <w:rsid w:val="437344B8"/>
    <w:rsid w:val="437470EA"/>
    <w:rsid w:val="437C12A7"/>
    <w:rsid w:val="43F643C8"/>
    <w:rsid w:val="43F81C45"/>
    <w:rsid w:val="441F4671"/>
    <w:rsid w:val="444565A3"/>
    <w:rsid w:val="447A6AFE"/>
    <w:rsid w:val="44B9673B"/>
    <w:rsid w:val="44DE4579"/>
    <w:rsid w:val="45AC0F39"/>
    <w:rsid w:val="461B60BF"/>
    <w:rsid w:val="46C96141"/>
    <w:rsid w:val="46D06FAA"/>
    <w:rsid w:val="475461C4"/>
    <w:rsid w:val="477A0BC3"/>
    <w:rsid w:val="47B438A0"/>
    <w:rsid w:val="47D41743"/>
    <w:rsid w:val="47D63DB2"/>
    <w:rsid w:val="47F3755A"/>
    <w:rsid w:val="482B71EF"/>
    <w:rsid w:val="48403BBB"/>
    <w:rsid w:val="48447281"/>
    <w:rsid w:val="487D04F4"/>
    <w:rsid w:val="48843697"/>
    <w:rsid w:val="48912668"/>
    <w:rsid w:val="48A31EA1"/>
    <w:rsid w:val="48D90D59"/>
    <w:rsid w:val="48E11FE9"/>
    <w:rsid w:val="48FA020D"/>
    <w:rsid w:val="4910333B"/>
    <w:rsid w:val="4925564B"/>
    <w:rsid w:val="492C6FBB"/>
    <w:rsid w:val="499D1F70"/>
    <w:rsid w:val="4A1025A8"/>
    <w:rsid w:val="4A832C17"/>
    <w:rsid w:val="4A9100D0"/>
    <w:rsid w:val="4AC26B09"/>
    <w:rsid w:val="4AD056CA"/>
    <w:rsid w:val="4AD41B9B"/>
    <w:rsid w:val="4AED1C9D"/>
    <w:rsid w:val="4B597B89"/>
    <w:rsid w:val="4BB44415"/>
    <w:rsid w:val="4BE8259F"/>
    <w:rsid w:val="4C025EBB"/>
    <w:rsid w:val="4C1B5016"/>
    <w:rsid w:val="4C2D08FA"/>
    <w:rsid w:val="4C4E289A"/>
    <w:rsid w:val="4CC56D84"/>
    <w:rsid w:val="4CDA19A5"/>
    <w:rsid w:val="4D5A2AE1"/>
    <w:rsid w:val="4DBE5CAD"/>
    <w:rsid w:val="4DD75684"/>
    <w:rsid w:val="4E0D2518"/>
    <w:rsid w:val="4E1557C5"/>
    <w:rsid w:val="4E231003"/>
    <w:rsid w:val="4E3873B7"/>
    <w:rsid w:val="4EF70D4B"/>
    <w:rsid w:val="4F2E0C11"/>
    <w:rsid w:val="4F79418A"/>
    <w:rsid w:val="50472E90"/>
    <w:rsid w:val="50A2078E"/>
    <w:rsid w:val="50B9275C"/>
    <w:rsid w:val="50C55866"/>
    <w:rsid w:val="50F72CC9"/>
    <w:rsid w:val="50FE286B"/>
    <w:rsid w:val="514069D9"/>
    <w:rsid w:val="51932220"/>
    <w:rsid w:val="51BC0756"/>
    <w:rsid w:val="51D276BD"/>
    <w:rsid w:val="51D77CAA"/>
    <w:rsid w:val="52173BDE"/>
    <w:rsid w:val="522135A2"/>
    <w:rsid w:val="5228244C"/>
    <w:rsid w:val="524A70C6"/>
    <w:rsid w:val="526D5211"/>
    <w:rsid w:val="527B2E68"/>
    <w:rsid w:val="529620AE"/>
    <w:rsid w:val="52A65CF9"/>
    <w:rsid w:val="52C7180D"/>
    <w:rsid w:val="52EB291F"/>
    <w:rsid w:val="52ED493F"/>
    <w:rsid w:val="52EF4E28"/>
    <w:rsid w:val="52F54559"/>
    <w:rsid w:val="52F55822"/>
    <w:rsid w:val="531D3103"/>
    <w:rsid w:val="531F0FF7"/>
    <w:rsid w:val="534E1882"/>
    <w:rsid w:val="53A83AF6"/>
    <w:rsid w:val="53B56AAB"/>
    <w:rsid w:val="53E03D6D"/>
    <w:rsid w:val="53E144A4"/>
    <w:rsid w:val="54333CD5"/>
    <w:rsid w:val="546107D9"/>
    <w:rsid w:val="546E506B"/>
    <w:rsid w:val="54815C87"/>
    <w:rsid w:val="549E2395"/>
    <w:rsid w:val="54DE6AB1"/>
    <w:rsid w:val="54FA18D3"/>
    <w:rsid w:val="550B7F7E"/>
    <w:rsid w:val="55297C80"/>
    <w:rsid w:val="5531155E"/>
    <w:rsid w:val="55311969"/>
    <w:rsid w:val="55454CC8"/>
    <w:rsid w:val="559710A2"/>
    <w:rsid w:val="565C7750"/>
    <w:rsid w:val="56644F18"/>
    <w:rsid w:val="56897637"/>
    <w:rsid w:val="56A12956"/>
    <w:rsid w:val="56C54297"/>
    <w:rsid w:val="56DB047F"/>
    <w:rsid w:val="56FE5BF2"/>
    <w:rsid w:val="56FF2E93"/>
    <w:rsid w:val="57100988"/>
    <w:rsid w:val="576D5122"/>
    <w:rsid w:val="58243E21"/>
    <w:rsid w:val="58506377"/>
    <w:rsid w:val="586259DC"/>
    <w:rsid w:val="58625BCC"/>
    <w:rsid w:val="58627B7D"/>
    <w:rsid w:val="58AD704A"/>
    <w:rsid w:val="58B574EB"/>
    <w:rsid w:val="58CE04C7"/>
    <w:rsid w:val="58D96C5B"/>
    <w:rsid w:val="58EA1556"/>
    <w:rsid w:val="58FC1D80"/>
    <w:rsid w:val="593509FB"/>
    <w:rsid w:val="59893E96"/>
    <w:rsid w:val="599D432B"/>
    <w:rsid w:val="59E56370"/>
    <w:rsid w:val="5A12625C"/>
    <w:rsid w:val="5AC67A4D"/>
    <w:rsid w:val="5B1E275D"/>
    <w:rsid w:val="5B3E21DC"/>
    <w:rsid w:val="5B4A5024"/>
    <w:rsid w:val="5B5A2D14"/>
    <w:rsid w:val="5BBD57F6"/>
    <w:rsid w:val="5BC414F3"/>
    <w:rsid w:val="5C2D4F60"/>
    <w:rsid w:val="5C351FFC"/>
    <w:rsid w:val="5C4F2788"/>
    <w:rsid w:val="5C953453"/>
    <w:rsid w:val="5CAE15E3"/>
    <w:rsid w:val="5CB84A88"/>
    <w:rsid w:val="5CDA4186"/>
    <w:rsid w:val="5D290C69"/>
    <w:rsid w:val="5D997085"/>
    <w:rsid w:val="5DEE479F"/>
    <w:rsid w:val="5E2377EC"/>
    <w:rsid w:val="5E254884"/>
    <w:rsid w:val="5E36741C"/>
    <w:rsid w:val="5E407DA6"/>
    <w:rsid w:val="5EED0027"/>
    <w:rsid w:val="5F1A373D"/>
    <w:rsid w:val="5F3F2DAC"/>
    <w:rsid w:val="5F4829DC"/>
    <w:rsid w:val="5F714A03"/>
    <w:rsid w:val="5F725BF8"/>
    <w:rsid w:val="5F8301BD"/>
    <w:rsid w:val="5FB15C3A"/>
    <w:rsid w:val="5FDE5D3B"/>
    <w:rsid w:val="5FDF26F7"/>
    <w:rsid w:val="5FEC0FE5"/>
    <w:rsid w:val="6022194E"/>
    <w:rsid w:val="60390096"/>
    <w:rsid w:val="60570E4A"/>
    <w:rsid w:val="606E5CB4"/>
    <w:rsid w:val="60980BFD"/>
    <w:rsid w:val="60D65D3F"/>
    <w:rsid w:val="60F4333C"/>
    <w:rsid w:val="60F85618"/>
    <w:rsid w:val="610B5004"/>
    <w:rsid w:val="611A50B4"/>
    <w:rsid w:val="619C43F3"/>
    <w:rsid w:val="6269072D"/>
    <w:rsid w:val="62A30CCB"/>
    <w:rsid w:val="62F24507"/>
    <w:rsid w:val="6352606D"/>
    <w:rsid w:val="639436E3"/>
    <w:rsid w:val="63BA6ABF"/>
    <w:rsid w:val="6445282D"/>
    <w:rsid w:val="645A13DB"/>
    <w:rsid w:val="64607B1A"/>
    <w:rsid w:val="646E5E05"/>
    <w:rsid w:val="648C045C"/>
    <w:rsid w:val="64A323C6"/>
    <w:rsid w:val="64A83BDE"/>
    <w:rsid w:val="6567664A"/>
    <w:rsid w:val="656A40F1"/>
    <w:rsid w:val="657A7C6A"/>
    <w:rsid w:val="657F402A"/>
    <w:rsid w:val="658C5E23"/>
    <w:rsid w:val="65F10123"/>
    <w:rsid w:val="65F9363E"/>
    <w:rsid w:val="66287D10"/>
    <w:rsid w:val="66747376"/>
    <w:rsid w:val="667E25AF"/>
    <w:rsid w:val="66815672"/>
    <w:rsid w:val="67042ACB"/>
    <w:rsid w:val="67152E14"/>
    <w:rsid w:val="673941B8"/>
    <w:rsid w:val="67770DF7"/>
    <w:rsid w:val="679C27B9"/>
    <w:rsid w:val="67C21399"/>
    <w:rsid w:val="67CB3049"/>
    <w:rsid w:val="67FF2A16"/>
    <w:rsid w:val="681F70B3"/>
    <w:rsid w:val="682465CF"/>
    <w:rsid w:val="684F4FAC"/>
    <w:rsid w:val="68EA74FF"/>
    <w:rsid w:val="690814B0"/>
    <w:rsid w:val="691727A3"/>
    <w:rsid w:val="694638B9"/>
    <w:rsid w:val="6972525B"/>
    <w:rsid w:val="69C211FB"/>
    <w:rsid w:val="69FC5E8B"/>
    <w:rsid w:val="6A16113C"/>
    <w:rsid w:val="6A777B3A"/>
    <w:rsid w:val="6AD14E1A"/>
    <w:rsid w:val="6AE1793A"/>
    <w:rsid w:val="6B056872"/>
    <w:rsid w:val="6B1765A5"/>
    <w:rsid w:val="6B217424"/>
    <w:rsid w:val="6B28360F"/>
    <w:rsid w:val="6B7329A8"/>
    <w:rsid w:val="6B9F4D55"/>
    <w:rsid w:val="6BAA3DD9"/>
    <w:rsid w:val="6C172D01"/>
    <w:rsid w:val="6C180827"/>
    <w:rsid w:val="6C5B0433"/>
    <w:rsid w:val="6CC21278"/>
    <w:rsid w:val="6CC2767B"/>
    <w:rsid w:val="6CEE14EE"/>
    <w:rsid w:val="6D342244"/>
    <w:rsid w:val="6DAB4CCB"/>
    <w:rsid w:val="6DC70D5C"/>
    <w:rsid w:val="6DDA24A1"/>
    <w:rsid w:val="6DE53C17"/>
    <w:rsid w:val="6DFC3BBF"/>
    <w:rsid w:val="6E0E1C83"/>
    <w:rsid w:val="6E250FD9"/>
    <w:rsid w:val="6E421966"/>
    <w:rsid w:val="6E45126B"/>
    <w:rsid w:val="6EA047F7"/>
    <w:rsid w:val="6EFB5292"/>
    <w:rsid w:val="6F062BB9"/>
    <w:rsid w:val="6F185329"/>
    <w:rsid w:val="6F213E8F"/>
    <w:rsid w:val="6F8A4CFB"/>
    <w:rsid w:val="6FD00A3F"/>
    <w:rsid w:val="703B034F"/>
    <w:rsid w:val="70783234"/>
    <w:rsid w:val="7079210E"/>
    <w:rsid w:val="70E64A50"/>
    <w:rsid w:val="710A408D"/>
    <w:rsid w:val="71231A63"/>
    <w:rsid w:val="714B6E37"/>
    <w:rsid w:val="71C72BEE"/>
    <w:rsid w:val="72AA2579"/>
    <w:rsid w:val="72AC1CC9"/>
    <w:rsid w:val="7353248D"/>
    <w:rsid w:val="73566122"/>
    <w:rsid w:val="73614D85"/>
    <w:rsid w:val="7363682B"/>
    <w:rsid w:val="7363763C"/>
    <w:rsid w:val="739465A0"/>
    <w:rsid w:val="73A82490"/>
    <w:rsid w:val="73AA3664"/>
    <w:rsid w:val="73B34AD5"/>
    <w:rsid w:val="73C14D7F"/>
    <w:rsid w:val="73D42B6E"/>
    <w:rsid w:val="743B3E3F"/>
    <w:rsid w:val="74655E47"/>
    <w:rsid w:val="746A1E3C"/>
    <w:rsid w:val="74CE1079"/>
    <w:rsid w:val="74E41D61"/>
    <w:rsid w:val="74E9656F"/>
    <w:rsid w:val="75F575B2"/>
    <w:rsid w:val="7654465A"/>
    <w:rsid w:val="765A00C6"/>
    <w:rsid w:val="76994BBA"/>
    <w:rsid w:val="76995E63"/>
    <w:rsid w:val="772335FF"/>
    <w:rsid w:val="7733287E"/>
    <w:rsid w:val="77452BA0"/>
    <w:rsid w:val="774923FD"/>
    <w:rsid w:val="775E0C1F"/>
    <w:rsid w:val="777E28EC"/>
    <w:rsid w:val="77A47159"/>
    <w:rsid w:val="77B52272"/>
    <w:rsid w:val="78082D26"/>
    <w:rsid w:val="78120C80"/>
    <w:rsid w:val="781959A6"/>
    <w:rsid w:val="783A1618"/>
    <w:rsid w:val="788222E3"/>
    <w:rsid w:val="7908485F"/>
    <w:rsid w:val="7936053E"/>
    <w:rsid w:val="793F0B2C"/>
    <w:rsid w:val="7970626D"/>
    <w:rsid w:val="797818E8"/>
    <w:rsid w:val="797D07AB"/>
    <w:rsid w:val="79AC25AE"/>
    <w:rsid w:val="7A0263EF"/>
    <w:rsid w:val="7AAC0A0E"/>
    <w:rsid w:val="7AF0301F"/>
    <w:rsid w:val="7B237CCD"/>
    <w:rsid w:val="7B306E47"/>
    <w:rsid w:val="7B8C6B3B"/>
    <w:rsid w:val="7BB717C3"/>
    <w:rsid w:val="7BD77DB7"/>
    <w:rsid w:val="7C2650BD"/>
    <w:rsid w:val="7C3F595C"/>
    <w:rsid w:val="7C507B69"/>
    <w:rsid w:val="7C683BAE"/>
    <w:rsid w:val="7C885555"/>
    <w:rsid w:val="7CBD0742"/>
    <w:rsid w:val="7CC601EC"/>
    <w:rsid w:val="7D162D31"/>
    <w:rsid w:val="7D333D31"/>
    <w:rsid w:val="7D7D55A3"/>
    <w:rsid w:val="7D937D0D"/>
    <w:rsid w:val="7D9A028A"/>
    <w:rsid w:val="7DE81FDD"/>
    <w:rsid w:val="7E3C2153"/>
    <w:rsid w:val="7E3C60AD"/>
    <w:rsid w:val="7E4A776E"/>
    <w:rsid w:val="7EC565EC"/>
    <w:rsid w:val="7EEF5417"/>
    <w:rsid w:val="7F0277B9"/>
    <w:rsid w:val="7F0D3AEF"/>
    <w:rsid w:val="7F435763"/>
    <w:rsid w:val="7F597673"/>
    <w:rsid w:val="7F787175"/>
    <w:rsid w:val="7F932A90"/>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 w:type="table" w:customStyle="1" w:styleId="27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14677</Words>
  <Characters>15196</Characters>
  <Lines>182</Lines>
  <Paragraphs>51</Paragraphs>
  <TotalTime>3</TotalTime>
  <ScaleCrop>false</ScaleCrop>
  <LinksUpToDate>false</LinksUpToDate>
  <CharactersWithSpaces>15402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2026-07-27T09:26:40Z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