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2026FW083</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语音网关租赁服务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6921"/>
      <w:bookmarkStart w:id="1" w:name="_Toc11641050"/>
      <w:bookmarkStart w:id="2" w:name="_Toc23588"/>
      <w:bookmarkStart w:id="3" w:name="_Toc25875"/>
      <w:bookmarkStart w:id="4" w:name="_Toc12789052"/>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语音网关租赁服务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313893526"/>
      <w:bookmarkStart w:id="10" w:name="_Toc317775175"/>
      <w:bookmarkStart w:id="11" w:name="_Toc485108767"/>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语音网关租赁服务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服务期：6个月</w:t>
            </w:r>
          </w:p>
        </w:tc>
      </w:tr>
    </w:tbl>
    <w:p w14:paraId="648B715C">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w:t>
      </w:r>
      <w:bookmarkStart w:id="14" w:name="_Toc485108769"/>
      <w:bookmarkStart w:id="15" w:name="_Toc2385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每个坐席300元/月，总预算18000元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485108774"/>
      <w:bookmarkStart w:id="19" w:name="_Toc1022273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bookmarkStart w:id="189" w:name="_GoBack"/>
      <w:bookmarkEnd w:id="189"/>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54171062"/>
      <w:bookmarkStart w:id="24" w:name="_Toc373860294"/>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1.参选报价为包干价，各项报价均包含服务费、保险费、税费等各项费用。(报价表见第六章)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9"/>
      <w:bookmarkStart w:id="38" w:name="OLE_LINK3"/>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79714298"/>
      <w:bookmarkStart w:id="41" w:name="_Toc342913393"/>
      <w:bookmarkStart w:id="42" w:name="_Toc403569780"/>
      <w:bookmarkStart w:id="43" w:name="_Toc19143"/>
      <w:bookmarkStart w:id="44" w:name="_Toc102227319"/>
      <w:bookmarkStart w:id="45"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14247"/>
      <w:bookmarkStart w:id="47" w:name="_Toc403569781"/>
      <w:bookmarkStart w:id="48" w:name="_Toc28776"/>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3212"/>
      <w:bookmarkStart w:id="56" w:name="_Toc403569783"/>
      <w:bookmarkStart w:id="57" w:name="_Toc7135"/>
      <w:bookmarkStart w:id="58" w:name="_Toc102227321"/>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6381"/>
      <w:bookmarkStart w:id="64" w:name="_Toc342913396"/>
      <w:bookmarkStart w:id="65" w:name="_Toc403569785"/>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35B9199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（一）服务内容</w:t>
      </w:r>
    </w:p>
    <w:p w14:paraId="67E2487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1.固话：正规企业落地固话线路、语音中继并发通道。</w:t>
      </w:r>
    </w:p>
    <w:p w14:paraId="5799742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2.坐席及呼叫平台：云端呼叫中心平台系统、坐席账号、配套操作权限。</w:t>
      </w:r>
    </w:p>
    <w:p w14:paraId="1C6EF5F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3.语音：自动语音导航（IVR）、自动呼叫分配（ACD）、交互式语音应答、排队机等语音配套服务。</w:t>
      </w:r>
    </w:p>
    <w:p w14:paraId="0BB9FB8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（二）实现功能</w:t>
      </w:r>
    </w:p>
    <w:p w14:paraId="0A23C4E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1.来电智能分配：支持按技能组分配（咨询组、投诉组、回访组）、轮询分配、空闲优先分配。</w:t>
      </w:r>
    </w:p>
    <w:p w14:paraId="28A446E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2.来电弹屏：支持来电自动弹出来电号码、历史通话记录、工单、回访记录。</w:t>
      </w:r>
    </w:p>
    <w:p w14:paraId="5602EA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3.基础通话操作：支持接听、挂断、保持、内部转接、外线三方通话、静音。</w:t>
      </w:r>
    </w:p>
    <w:p w14:paraId="6DD374E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4.IVR多级语音导航：自定义欢迎语、科室导航、自助查询语音菜单。</w:t>
      </w:r>
    </w:p>
    <w:p w14:paraId="71577A7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5.全程通话录音：所有进线、外呼通话自动录音，录音云端存储不少于6个月，支持按日期、号码、坐席检索、播放、导出。</w:t>
      </w:r>
    </w:p>
    <w:p w14:paraId="002F98D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6.工单管理：自定义咨询、投诉、预约、回访四类工单，支持分派、待办、办结、驳回、归档。</w:t>
      </w:r>
    </w:p>
    <w:p w14:paraId="24F5860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7.数据统计报表：自动生成日/周/月报表，包含进线总量、接通率、通话时长、回访完成率、工单办结率，支持Excel导出。</w:t>
      </w:r>
    </w:p>
    <w:p w14:paraId="1E856DC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8.知识库：可录入科室信息、常见问答、体检套餐、康复须知，坐席快速检索。</w:t>
      </w:r>
    </w:p>
    <w:p w14:paraId="4BF6ADC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9.短信联动：通话结束自动推送预约提醒、复诊通知、投诉受理反馈短信。</w:t>
      </w:r>
    </w:p>
    <w:p w14:paraId="43A45D08">
      <w:pPr>
        <w:spacing w:line="520" w:lineRule="exact"/>
        <w:ind w:firstLine="420" w:firstLineChars="200"/>
        <w:rPr>
          <w:rFonts w:hint="default" w:eastAsia="方正仿宋_GBK"/>
          <w:color w:val="000000" w:themeColor="text1"/>
          <w:szCs w:val="28"/>
          <w:lang w:val="en-US" w:eastAsia="zh-CN"/>
          <w14:textFill>
            <w14:solidFill>
              <w14:schemeClr w14:val="tx1"/>
            </w14:solidFill>
          </w14:textFill>
        </w:rPr>
      </w:pPr>
    </w:p>
    <w:p w14:paraId="10F44E35">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0A5DCCD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1C1CFA6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244484C">
      <w:pPr>
        <w:snapToGrid w:val="0"/>
        <w:spacing w:line="400" w:lineRule="exact"/>
        <w:ind w:firstLine="480" w:firstLineChars="200"/>
        <w:rPr>
          <w:rFonts w:hint="eastAsia" w:ascii="宋体" w:hAnsi="宋体" w:eastAsia="方正仿宋_GBK" w:cs="宋体"/>
          <w:color w:val="000000" w:themeColor="text1"/>
          <w:sz w:val="24"/>
          <w:szCs w:val="24"/>
          <w:shd w:val="clear" w:color="auto" w:fill="auto"/>
          <w:lang w:val="en-US" w:eastAsia="zh-CN"/>
          <w14:textFill>
            <w14:solidFill>
              <w14:schemeClr w14:val="tx1"/>
            </w14:solidFill>
          </w14:textFill>
        </w:rPr>
      </w:pPr>
    </w:p>
    <w:p w14:paraId="628AA8B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50A5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4" w:name="_Toc4364"/>
      <w:bookmarkStart w:id="75" w:name="_Toc17014"/>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2789059"/>
      <w:bookmarkStart w:id="77"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403569795"/>
      <w:bookmarkStart w:id="80" w:name="_Toc485108793"/>
      <w:bookmarkStart w:id="81"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4ACFF1AE">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1.报价方式：参选报价为包干价，各项报价均包含服务费、保险费、税费等各项费用。</w:t>
      </w:r>
    </w:p>
    <w:p w14:paraId="18F145C4">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2.服务期限：6个月</w:t>
      </w:r>
    </w:p>
    <w:p w14:paraId="18494F4A">
      <w:pPr>
        <w:snapToGrid w:val="0"/>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3.验收方式：正常运行后双方验收签字确认。</w:t>
      </w:r>
    </w:p>
    <w:p w14:paraId="1B348AFC">
      <w:pPr>
        <w:snapToGrid w:val="0"/>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4.付款方式：费用根据坐席数量和短信数量按月据实结算，服务方开具合法发票经采购方审核无误后60日内支付。</w:t>
      </w:r>
    </w:p>
    <w:p w14:paraId="5DBA4A75">
      <w:pPr>
        <w:snapToGrid w:val="0"/>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5.售后服务：维修响应时间为1小时，远程不能解决时须在2小时内到达现场维修。</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485108794"/>
      <w:bookmarkStart w:id="84" w:name="_Toc26989"/>
      <w:bookmarkStart w:id="85" w:name="_Toc14840"/>
      <w:bookmarkStart w:id="86" w:name="_Toc15711"/>
      <w:bookmarkStart w:id="87" w:name="_Toc303945820"/>
      <w:bookmarkStart w:id="88"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54718206"/>
      <w:bookmarkStart w:id="109"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9053"/>
      <w:bookmarkStart w:id="113"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3696"/>
      <w:bookmarkStart w:id="136" w:name="_Toc29521"/>
      <w:bookmarkStart w:id="137" w:name="_Toc12789072"/>
      <w:bookmarkStart w:id="138" w:name="_Toc485108795"/>
      <w:bookmarkStart w:id="139" w:name="_Toc1408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19884"/>
      <w:bookmarkStart w:id="149"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342913419"/>
      <w:bookmarkStart w:id="153" w:name="_Toc5565"/>
      <w:bookmarkStart w:id="154" w:name="_Toc485108796"/>
      <w:bookmarkStart w:id="155" w:name="_Toc480979018"/>
      <w:bookmarkStart w:id="156" w:name="_Toc313888360"/>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59" w:name="_Toc313888361"/>
      <w:bookmarkStart w:id="160" w:name="_Toc480979019"/>
      <w:bookmarkStart w:id="161" w:name="_Toc313008357"/>
      <w:bookmarkStart w:id="162" w:name="_Toc485108797"/>
      <w:bookmarkStart w:id="163" w:name="_Toc342913420"/>
      <w:r>
        <w:rPr>
          <w:rFonts w:hint="eastAsia" w:ascii="黑体" w:hAnsi="黑体" w:eastAsia="黑体"/>
          <w:color w:val="000000" w:themeColor="text1"/>
          <w:sz w:val="32"/>
          <w:szCs w:val="32"/>
          <w14:textFill>
            <w14:solidFill>
              <w14:schemeClr w14:val="tx1"/>
            </w14:solidFill>
          </w14:textFill>
        </w:rPr>
        <w:t>报 价 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8"/>
        <w:gridCol w:w="2838"/>
        <w:gridCol w:w="2501"/>
        <w:gridCol w:w="2501"/>
      </w:tblGrid>
      <w:tr w14:paraId="0357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dxa"/>
          </w:tcPr>
          <w:p w14:paraId="53AF3B14">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序号</w:t>
            </w:r>
          </w:p>
        </w:tc>
        <w:tc>
          <w:tcPr>
            <w:tcW w:w="2838" w:type="dxa"/>
          </w:tcPr>
          <w:p w14:paraId="3428F884">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服务</w:t>
            </w:r>
          </w:p>
        </w:tc>
        <w:tc>
          <w:tcPr>
            <w:tcW w:w="2501" w:type="dxa"/>
          </w:tcPr>
          <w:p w14:paraId="38A98027">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报价（元）</w:t>
            </w:r>
          </w:p>
        </w:tc>
        <w:tc>
          <w:tcPr>
            <w:tcW w:w="2501" w:type="dxa"/>
          </w:tcPr>
          <w:p w14:paraId="294ECDB4">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限价（元）</w:t>
            </w:r>
          </w:p>
        </w:tc>
      </w:tr>
      <w:tr w14:paraId="62E1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dxa"/>
          </w:tcPr>
          <w:p w14:paraId="62C6AADF">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1</w:t>
            </w:r>
          </w:p>
        </w:tc>
        <w:tc>
          <w:tcPr>
            <w:tcW w:w="2838" w:type="dxa"/>
          </w:tcPr>
          <w:p w14:paraId="1CECD0CE">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语音服务费</w:t>
            </w:r>
          </w:p>
        </w:tc>
        <w:tc>
          <w:tcPr>
            <w:tcW w:w="2501" w:type="dxa"/>
          </w:tcPr>
          <w:p w14:paraId="53E6900E">
            <w:pPr>
              <w:spacing w:line="594" w:lineRule="exact"/>
              <w:jc w:val="center"/>
              <w:rPr>
                <w:rFonts w:hint="eastAsia" w:ascii="宋体" w:hAnsi="宋体" w:eastAsia="宋体" w:cs="宋体"/>
                <w:sz w:val="28"/>
                <w:szCs w:val="32"/>
              </w:rPr>
            </w:pPr>
            <w:r>
              <w:rPr>
                <w:rFonts w:hint="eastAsia" w:ascii="宋体" w:hAnsi="宋体" w:eastAsia="宋体" w:cs="宋体"/>
                <w:sz w:val="28"/>
                <w:szCs w:val="32"/>
                <w:u w:val="single"/>
              </w:rPr>
              <w:t xml:space="preserve">       </w:t>
            </w:r>
            <w:r>
              <w:rPr>
                <w:rFonts w:hint="eastAsia" w:ascii="宋体" w:hAnsi="宋体" w:eastAsia="宋体" w:cs="宋体"/>
                <w:sz w:val="28"/>
                <w:szCs w:val="32"/>
              </w:rPr>
              <w:t>元/月</w:t>
            </w:r>
          </w:p>
        </w:tc>
        <w:tc>
          <w:tcPr>
            <w:tcW w:w="2501" w:type="dxa"/>
          </w:tcPr>
          <w:p w14:paraId="4797B191">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300元/月/坐席</w:t>
            </w:r>
          </w:p>
        </w:tc>
      </w:tr>
      <w:tr w14:paraId="1249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8" w:type="dxa"/>
          </w:tcPr>
          <w:p w14:paraId="3EA9F181">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2</w:t>
            </w:r>
          </w:p>
        </w:tc>
        <w:tc>
          <w:tcPr>
            <w:tcW w:w="2838" w:type="dxa"/>
          </w:tcPr>
          <w:p w14:paraId="336530F7">
            <w:pPr>
              <w:spacing w:line="594" w:lineRule="exact"/>
              <w:jc w:val="center"/>
              <w:rPr>
                <w:rFonts w:hint="eastAsia" w:ascii="宋体" w:hAnsi="宋体" w:eastAsia="宋体" w:cs="宋体"/>
                <w:sz w:val="28"/>
                <w:szCs w:val="32"/>
              </w:rPr>
            </w:pPr>
            <w:r>
              <w:rPr>
                <w:rFonts w:hint="eastAsia" w:ascii="宋体" w:hAnsi="宋体" w:eastAsia="宋体" w:cs="宋体"/>
                <w:sz w:val="28"/>
                <w:szCs w:val="32"/>
              </w:rPr>
              <w:t>短信费</w:t>
            </w:r>
          </w:p>
        </w:tc>
        <w:tc>
          <w:tcPr>
            <w:tcW w:w="2501" w:type="dxa"/>
          </w:tcPr>
          <w:p w14:paraId="2E12B6BD">
            <w:pPr>
              <w:spacing w:line="594" w:lineRule="exact"/>
              <w:jc w:val="center"/>
              <w:rPr>
                <w:rFonts w:hint="eastAsia" w:ascii="宋体" w:hAnsi="宋体" w:eastAsia="宋体" w:cs="宋体"/>
                <w:sz w:val="28"/>
                <w:szCs w:val="32"/>
              </w:rPr>
            </w:pPr>
            <w:r>
              <w:rPr>
                <w:rFonts w:hint="eastAsia" w:ascii="宋体" w:hAnsi="宋体" w:eastAsia="宋体" w:cs="宋体"/>
                <w:sz w:val="28"/>
                <w:szCs w:val="32"/>
                <w:u w:val="single"/>
              </w:rPr>
              <w:t xml:space="preserve">       </w:t>
            </w:r>
            <w:r>
              <w:rPr>
                <w:rFonts w:hint="eastAsia" w:ascii="宋体" w:hAnsi="宋体" w:eastAsia="宋体" w:cs="宋体"/>
                <w:sz w:val="28"/>
                <w:szCs w:val="32"/>
              </w:rPr>
              <w:t>元/条</w:t>
            </w:r>
          </w:p>
        </w:tc>
        <w:tc>
          <w:tcPr>
            <w:tcW w:w="2501" w:type="dxa"/>
          </w:tcPr>
          <w:p w14:paraId="1700B1A2">
            <w:pPr>
              <w:spacing w:line="594" w:lineRule="exact"/>
              <w:jc w:val="center"/>
              <w:rPr>
                <w:rFonts w:hint="eastAsia" w:ascii="宋体" w:hAnsi="宋体" w:eastAsia="宋体" w:cs="宋体"/>
                <w:sz w:val="28"/>
                <w:szCs w:val="32"/>
                <w:u w:val="single"/>
              </w:rPr>
            </w:pPr>
            <w:r>
              <w:rPr>
                <w:rFonts w:hint="eastAsia" w:ascii="宋体" w:hAnsi="宋体" w:eastAsia="宋体" w:cs="宋体"/>
                <w:sz w:val="28"/>
                <w:szCs w:val="32"/>
              </w:rPr>
              <w:t xml:space="preserve"> 0.06元/条 </w:t>
            </w:r>
          </w:p>
        </w:tc>
      </w:tr>
    </w:tbl>
    <w:p w14:paraId="3976FC2B">
      <w:pPr>
        <w:spacing w:line="360" w:lineRule="auto"/>
        <w:rPr>
          <w:rFonts w:hint="eastAsia" w:ascii="宋体" w:hAnsi="宋体"/>
          <w:color w:val="000000" w:themeColor="text1"/>
          <w:sz w:val="28"/>
          <w:szCs w:val="28"/>
          <w14:textFill>
            <w14:solidFill>
              <w14:schemeClr w14:val="tx1"/>
            </w14:solidFill>
          </w14:textFill>
        </w:rPr>
      </w:pPr>
    </w:p>
    <w:p w14:paraId="4D9816A0">
      <w:pPr>
        <w:snapToGrid w:val="0"/>
        <w:spacing w:line="400" w:lineRule="exact"/>
        <w:ind w:firstLine="560" w:firstLineChars="200"/>
        <w:rPr>
          <w:rFonts w:hint="default" w:ascii="宋体" w:hAnsi="宋体" w:eastAsia="宋体" w:cs="宋体"/>
          <w:color w:val="FF0000"/>
          <w:sz w:val="24"/>
          <w:szCs w:val="24"/>
          <w:shd w:val="clear" w:color="auto" w:fill="auto"/>
          <w:lang w:val="en-US" w:eastAsia="zh-CN"/>
        </w:rPr>
      </w:pPr>
      <w:r>
        <w:rPr>
          <w:rFonts w:hint="eastAsia" w:ascii="宋体" w:hAnsi="宋体"/>
          <w:color w:val="000000" w:themeColor="text1"/>
          <w:sz w:val="28"/>
          <w:szCs w:val="28"/>
          <w14:textFill>
            <w14:solidFill>
              <w14:schemeClr w14:val="tx1"/>
            </w14:solidFill>
          </w14:textFill>
        </w:rPr>
        <w:t>备注：</w:t>
      </w:r>
      <w:r>
        <w:rPr>
          <w:rFonts w:hint="eastAsia" w:ascii="宋体" w:hAnsi="宋体" w:eastAsia="宋体" w:cs="宋体"/>
          <w:color w:val="FF0000"/>
          <w:sz w:val="24"/>
          <w:szCs w:val="24"/>
          <w:shd w:val="clear" w:color="auto" w:fill="auto"/>
          <w:lang w:val="en-US" w:eastAsia="zh-CN"/>
        </w:rPr>
        <w:t>参选报价为包干价，各项报价均包含服务费、保险费、税费等各项费用。</w:t>
      </w:r>
    </w:p>
    <w:p w14:paraId="09B10BF7">
      <w:pPr>
        <w:snapToGrid w:val="0"/>
        <w:spacing w:line="400" w:lineRule="exact"/>
        <w:ind w:firstLine="560" w:firstLineChars="200"/>
        <w:rPr>
          <w:rFonts w:hint="eastAsia" w:ascii="宋体" w:hAnsi="宋体"/>
          <w:color w:val="000000" w:themeColor="text1"/>
          <w:sz w:val="28"/>
          <w:szCs w:val="28"/>
          <w14:textFill>
            <w14:solidFill>
              <w14:schemeClr w14:val="tx1"/>
            </w14:solidFill>
          </w14:textFill>
        </w:rPr>
      </w:pP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4" w:name="_Toc12908"/>
      <w:bookmarkStart w:id="165" w:name="_Toc9883"/>
    </w:p>
    <w:p w14:paraId="35A3FD63">
      <w:pPr>
        <w:rPr>
          <w:rFonts w:hint="eastAsia"/>
          <w:color w:val="000000" w:themeColor="text1"/>
          <w14:textFill>
            <w14:solidFill>
              <w14:schemeClr w14:val="tx1"/>
            </w14:solidFill>
          </w14:textFill>
        </w:rPr>
      </w:pPr>
    </w:p>
    <w:p w14:paraId="39F9CFB9">
      <w:pPr>
        <w:outlineLvl w:val="0"/>
        <w:rPr>
          <w:rFonts w:hint="eastAsia" w:ascii="宋体" w:hAnsi="宋体" w:eastAsia="宋体" w:cs="宋体"/>
          <w:b/>
          <w:color w:val="000000" w:themeColor="text1"/>
          <w:shd w:val="clear" w:color="auto" w:fill="auto"/>
          <w14:textFill>
            <w14:solidFill>
              <w14:schemeClr w14:val="tx1"/>
            </w14:solidFill>
          </w14:textFill>
        </w:rPr>
      </w:pPr>
    </w:p>
    <w:p w14:paraId="051D0383">
      <w:pPr>
        <w:outlineLvl w:val="0"/>
        <w:rPr>
          <w:rFonts w:hint="eastAsia" w:ascii="宋体" w:hAnsi="宋体" w:eastAsia="宋体" w:cs="宋体"/>
          <w:b/>
          <w:color w:val="000000" w:themeColor="text1"/>
          <w:shd w:val="clear" w:color="auto" w:fill="auto"/>
          <w14:textFill>
            <w14:solidFill>
              <w14:schemeClr w14:val="tx1"/>
            </w14:solidFill>
          </w14:textFill>
        </w:rPr>
      </w:pPr>
    </w:p>
    <w:p w14:paraId="4D0195C7">
      <w:pPr>
        <w:outlineLvl w:val="0"/>
        <w:rPr>
          <w:rFonts w:hint="eastAsia" w:ascii="宋体" w:hAnsi="宋体" w:eastAsia="宋体" w:cs="宋体"/>
          <w:b/>
          <w:color w:val="000000" w:themeColor="text1"/>
          <w:shd w:val="clear" w:color="auto" w:fill="auto"/>
          <w14:textFill>
            <w14:solidFill>
              <w14:schemeClr w14:val="tx1"/>
            </w14:solidFill>
          </w14:textFill>
        </w:rPr>
      </w:pPr>
    </w:p>
    <w:p w14:paraId="49F34E9C">
      <w:pPr>
        <w:outlineLvl w:val="0"/>
        <w:rPr>
          <w:rFonts w:hint="eastAsia" w:ascii="宋体" w:hAnsi="宋体" w:eastAsia="宋体" w:cs="宋体"/>
          <w:b/>
          <w:color w:val="000000" w:themeColor="text1"/>
          <w:shd w:val="clear" w:color="auto" w:fill="auto"/>
          <w14:textFill>
            <w14:solidFill>
              <w14:schemeClr w14:val="tx1"/>
            </w14:solidFill>
          </w14:textFill>
        </w:rPr>
      </w:pPr>
    </w:p>
    <w:p w14:paraId="2DCB17CB">
      <w:pPr>
        <w:outlineLvl w:val="0"/>
        <w:rPr>
          <w:rFonts w:hint="eastAsia" w:ascii="宋体" w:hAnsi="宋体" w:eastAsia="宋体" w:cs="宋体"/>
          <w:b/>
          <w:color w:val="000000" w:themeColor="text1"/>
          <w:shd w:val="clear" w:color="auto" w:fill="auto"/>
          <w14:textFill>
            <w14:solidFill>
              <w14:schemeClr w14:val="tx1"/>
            </w14:solidFill>
          </w14:textFill>
        </w:rPr>
      </w:pPr>
    </w:p>
    <w:p w14:paraId="6166CCE7">
      <w:pPr>
        <w:outlineLvl w:val="0"/>
        <w:rPr>
          <w:rFonts w:hint="eastAsia" w:ascii="宋体" w:hAnsi="宋体" w:eastAsia="宋体" w:cs="宋体"/>
          <w:b/>
          <w:color w:val="000000" w:themeColor="text1"/>
          <w:shd w:val="clear" w:color="auto" w:fill="auto"/>
          <w14:textFill>
            <w14:solidFill>
              <w14:schemeClr w14:val="tx1"/>
            </w14:solidFill>
          </w14:textFill>
        </w:rPr>
      </w:pPr>
    </w:p>
    <w:p w14:paraId="752E2309">
      <w:pPr>
        <w:outlineLvl w:val="0"/>
        <w:rPr>
          <w:rFonts w:hint="eastAsia" w:ascii="宋体" w:hAnsi="宋体" w:eastAsia="宋体" w:cs="宋体"/>
          <w:b/>
          <w:color w:val="000000" w:themeColor="text1"/>
          <w:shd w:val="clear" w:color="auto" w:fill="auto"/>
          <w14:textFill>
            <w14:solidFill>
              <w14:schemeClr w14:val="tx1"/>
            </w14:solidFill>
          </w14:textFill>
        </w:rPr>
      </w:pPr>
    </w:p>
    <w:p w14:paraId="339E71BC">
      <w:pPr>
        <w:outlineLvl w:val="0"/>
        <w:rPr>
          <w:rFonts w:hint="eastAsia" w:ascii="宋体" w:hAnsi="宋体" w:eastAsia="宋体" w:cs="宋体"/>
          <w:b/>
          <w:color w:val="000000" w:themeColor="text1"/>
          <w:shd w:val="clear" w:color="auto" w:fill="auto"/>
          <w14:textFill>
            <w14:solidFill>
              <w14:schemeClr w14:val="tx1"/>
            </w14:solidFill>
          </w14:textFill>
        </w:rPr>
      </w:pPr>
    </w:p>
    <w:p w14:paraId="24009C2B">
      <w:pPr>
        <w:outlineLvl w:val="0"/>
        <w:rPr>
          <w:rFonts w:hint="eastAsia" w:ascii="宋体" w:hAnsi="宋体" w:eastAsia="宋体" w:cs="宋体"/>
          <w:b/>
          <w:color w:val="000000" w:themeColor="text1"/>
          <w:shd w:val="clear" w:color="auto" w:fill="auto"/>
          <w14:textFill>
            <w14:solidFill>
              <w14:schemeClr w14:val="tx1"/>
            </w14:solidFill>
          </w14:textFill>
        </w:rPr>
      </w:pPr>
    </w:p>
    <w:p w14:paraId="01BFD914">
      <w:pPr>
        <w:outlineLvl w:val="0"/>
        <w:rPr>
          <w:rFonts w:hint="eastAsia" w:ascii="宋体" w:hAnsi="宋体" w:eastAsia="宋体" w:cs="宋体"/>
          <w:b/>
          <w:color w:val="000000" w:themeColor="text1"/>
          <w:shd w:val="clear" w:color="auto" w:fill="auto"/>
          <w14:textFill>
            <w14:solidFill>
              <w14:schemeClr w14:val="tx1"/>
            </w14:solidFill>
          </w14:textFill>
        </w:rPr>
      </w:pPr>
    </w:p>
    <w:p w14:paraId="684B4FAF">
      <w:pPr>
        <w:outlineLvl w:val="0"/>
        <w:rPr>
          <w:rFonts w:hint="eastAsia" w:ascii="宋体" w:hAnsi="宋体" w:eastAsia="宋体" w:cs="宋体"/>
          <w:b/>
          <w:color w:val="000000" w:themeColor="text1"/>
          <w:shd w:val="clear" w:color="auto" w:fill="auto"/>
          <w14:textFill>
            <w14:solidFill>
              <w14:schemeClr w14:val="tx1"/>
            </w14:solidFill>
          </w14:textFill>
        </w:rPr>
      </w:pPr>
    </w:p>
    <w:p w14:paraId="08C986E7">
      <w:pPr>
        <w:outlineLvl w:val="0"/>
        <w:rPr>
          <w:rFonts w:hint="eastAsia" w:ascii="宋体" w:hAnsi="宋体" w:eastAsia="宋体" w:cs="宋体"/>
          <w:b/>
          <w:color w:val="000000" w:themeColor="text1"/>
          <w:shd w:val="clear" w:color="auto" w:fill="auto"/>
          <w14:textFill>
            <w14:solidFill>
              <w14:schemeClr w14:val="tx1"/>
            </w14:solidFill>
          </w14:textFill>
        </w:rPr>
      </w:pPr>
    </w:p>
    <w:p w14:paraId="1DB58DC8">
      <w:pPr>
        <w:outlineLvl w:val="0"/>
        <w:rPr>
          <w:rFonts w:hint="eastAsia" w:ascii="宋体" w:hAnsi="宋体" w:eastAsia="宋体" w:cs="宋体"/>
          <w:b/>
          <w:color w:val="000000" w:themeColor="text1"/>
          <w:shd w:val="clear" w:color="auto" w:fill="auto"/>
          <w14:textFill>
            <w14:solidFill>
              <w14:schemeClr w14:val="tx1"/>
            </w14:solidFill>
          </w14:textFill>
        </w:rPr>
      </w:pPr>
    </w:p>
    <w:p w14:paraId="7F91D96D">
      <w:pPr>
        <w:outlineLvl w:val="0"/>
        <w:rPr>
          <w:rFonts w:hint="eastAsia" w:ascii="宋体" w:hAnsi="宋体" w:eastAsia="宋体" w:cs="宋体"/>
          <w:b/>
          <w:color w:val="000000" w:themeColor="text1"/>
          <w:shd w:val="clear" w:color="auto" w:fill="auto"/>
          <w14:textFill>
            <w14:solidFill>
              <w14:schemeClr w14:val="tx1"/>
            </w14:solidFill>
          </w14:textFill>
        </w:rPr>
      </w:pPr>
    </w:p>
    <w:p w14:paraId="4874F929">
      <w:pPr>
        <w:outlineLvl w:val="0"/>
        <w:rPr>
          <w:rFonts w:hint="eastAsia" w:ascii="宋体" w:hAnsi="宋体" w:eastAsia="宋体" w:cs="宋体"/>
          <w:b/>
          <w:color w:val="000000" w:themeColor="text1"/>
          <w:shd w:val="clear" w:color="auto" w:fill="auto"/>
          <w14:textFill>
            <w14:solidFill>
              <w14:schemeClr w14:val="tx1"/>
            </w14:solidFill>
          </w14:textFill>
        </w:rPr>
      </w:pPr>
    </w:p>
    <w:p w14:paraId="3DF8A51D">
      <w:pPr>
        <w:outlineLvl w:val="0"/>
        <w:rPr>
          <w:rFonts w:hint="eastAsia" w:ascii="宋体" w:hAnsi="宋体" w:eastAsia="宋体" w:cs="宋体"/>
          <w:b/>
          <w:color w:val="000000" w:themeColor="text1"/>
          <w:shd w:val="clear" w:color="auto" w:fill="auto"/>
          <w14:textFill>
            <w14:solidFill>
              <w14:schemeClr w14:val="tx1"/>
            </w14:solidFill>
          </w14:textFill>
        </w:rPr>
      </w:pPr>
    </w:p>
    <w:p w14:paraId="207DA110">
      <w:pPr>
        <w:outlineLvl w:val="0"/>
        <w:rPr>
          <w:rFonts w:hint="eastAsia" w:ascii="宋体" w:hAnsi="宋体" w:eastAsia="宋体" w:cs="宋体"/>
          <w:b/>
          <w:color w:val="000000" w:themeColor="text1"/>
          <w:shd w:val="clear" w:color="auto" w:fill="auto"/>
          <w14:textFill>
            <w14:solidFill>
              <w14:schemeClr w14:val="tx1"/>
            </w14:solidFill>
          </w14:textFill>
        </w:rPr>
      </w:pPr>
    </w:p>
    <w:p w14:paraId="54F4CE56">
      <w:pPr>
        <w:outlineLvl w:val="0"/>
        <w:rPr>
          <w:rFonts w:hint="eastAsia" w:ascii="宋体" w:hAnsi="宋体" w:eastAsia="宋体" w:cs="宋体"/>
          <w:b/>
          <w:color w:val="000000" w:themeColor="text1"/>
          <w:shd w:val="clear" w:color="auto" w:fill="auto"/>
          <w14:textFill>
            <w14:solidFill>
              <w14:schemeClr w14:val="tx1"/>
            </w14:solidFill>
          </w14:textFill>
        </w:rPr>
      </w:pPr>
    </w:p>
    <w:p w14:paraId="6292F0B9">
      <w:pPr>
        <w:outlineLvl w:val="0"/>
        <w:rPr>
          <w:rFonts w:hint="eastAsia" w:ascii="宋体" w:hAnsi="宋体" w:eastAsia="宋体" w:cs="宋体"/>
          <w:b/>
          <w:color w:val="000000" w:themeColor="text1"/>
          <w:shd w:val="clear" w:color="auto" w:fill="auto"/>
          <w14:textFill>
            <w14:solidFill>
              <w14:schemeClr w14:val="tx1"/>
            </w14:solidFill>
          </w14:textFill>
        </w:rPr>
      </w:pPr>
    </w:p>
    <w:p w14:paraId="6AE7A86C">
      <w:pPr>
        <w:outlineLvl w:val="0"/>
        <w:rPr>
          <w:rFonts w:hint="eastAsia" w:ascii="宋体" w:hAnsi="宋体" w:eastAsia="宋体" w:cs="宋体"/>
          <w:b/>
          <w:color w:val="000000" w:themeColor="text1"/>
          <w:shd w:val="clear" w:color="auto" w:fill="auto"/>
          <w14:textFill>
            <w14:solidFill>
              <w14:schemeClr w14:val="tx1"/>
            </w14:solidFill>
          </w14:textFill>
        </w:rPr>
      </w:pPr>
    </w:p>
    <w:p w14:paraId="45BD5AFC">
      <w:pPr>
        <w:outlineLvl w:val="0"/>
        <w:rPr>
          <w:rFonts w:hint="eastAsia" w:ascii="宋体" w:hAnsi="宋体" w:eastAsia="宋体" w:cs="宋体"/>
          <w:b/>
          <w:color w:val="000000" w:themeColor="text1"/>
          <w:shd w:val="clear" w:color="auto" w:fill="auto"/>
          <w14:textFill>
            <w14:solidFill>
              <w14:schemeClr w14:val="tx1"/>
            </w14:solidFill>
          </w14:textFill>
        </w:rPr>
      </w:pPr>
    </w:p>
    <w:p w14:paraId="0561DF6A">
      <w:pPr>
        <w:outlineLvl w:val="0"/>
        <w:rPr>
          <w:rFonts w:hint="eastAsia" w:ascii="宋体" w:hAnsi="宋体" w:eastAsia="宋体" w:cs="宋体"/>
          <w:b/>
          <w:color w:val="000000" w:themeColor="text1"/>
          <w:shd w:val="clear" w:color="auto" w:fill="auto"/>
          <w14:textFill>
            <w14:solidFill>
              <w14:schemeClr w14:val="tx1"/>
            </w14:solidFill>
          </w14:textFill>
        </w:rPr>
      </w:pPr>
    </w:p>
    <w:p w14:paraId="32098C6E">
      <w:pPr>
        <w:outlineLvl w:val="0"/>
        <w:rPr>
          <w:rFonts w:hint="eastAsia" w:ascii="宋体" w:hAnsi="宋体" w:eastAsia="宋体" w:cs="宋体"/>
          <w:b/>
          <w:color w:val="000000" w:themeColor="text1"/>
          <w:shd w:val="clear" w:color="auto" w:fill="auto"/>
          <w14:textFill>
            <w14:solidFill>
              <w14:schemeClr w14:val="tx1"/>
            </w14:solidFill>
          </w14:textFill>
        </w:rPr>
      </w:pPr>
    </w:p>
    <w:p w14:paraId="33B2C643">
      <w:pPr>
        <w:outlineLvl w:val="0"/>
        <w:rPr>
          <w:rFonts w:hint="eastAsia" w:ascii="宋体" w:hAnsi="宋体" w:eastAsia="宋体" w:cs="宋体"/>
          <w:b/>
          <w:color w:val="000000" w:themeColor="text1"/>
          <w:shd w:val="clear" w:color="auto" w:fill="auto"/>
          <w14:textFill>
            <w14:solidFill>
              <w14:schemeClr w14:val="tx1"/>
            </w14:solidFill>
          </w14:textFill>
        </w:rPr>
      </w:pPr>
    </w:p>
    <w:p w14:paraId="43DCD6E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3D6FE2-EC2A-4808-B31D-B1EB2E133E6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A60B197D-CF28-4807-8D67-6079018F3046}"/>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661A090B-4B7A-4D7C-80AF-D05320F0677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CF5CB2"/>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0D17073"/>
    <w:rsid w:val="111523FC"/>
    <w:rsid w:val="111C3A01"/>
    <w:rsid w:val="11782A26"/>
    <w:rsid w:val="127144F0"/>
    <w:rsid w:val="12872BA2"/>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46BD0"/>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ED155BB"/>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565EE6"/>
    <w:rsid w:val="24AB13E3"/>
    <w:rsid w:val="24CC6750"/>
    <w:rsid w:val="254D6667"/>
    <w:rsid w:val="25B65C1B"/>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BB3058"/>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EDD678B"/>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5F5112B"/>
    <w:rsid w:val="461B60BF"/>
    <w:rsid w:val="46607149"/>
    <w:rsid w:val="466B0DF4"/>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754DA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D93AE7"/>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7A83453"/>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720862"/>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A60E12"/>
    <w:rsid w:val="64CA3B69"/>
    <w:rsid w:val="656A40F1"/>
    <w:rsid w:val="658C5E23"/>
    <w:rsid w:val="65F9363E"/>
    <w:rsid w:val="662057C9"/>
    <w:rsid w:val="66426E7D"/>
    <w:rsid w:val="66542FCE"/>
    <w:rsid w:val="66744448"/>
    <w:rsid w:val="667E25AF"/>
    <w:rsid w:val="66815672"/>
    <w:rsid w:val="67152E14"/>
    <w:rsid w:val="67732BC2"/>
    <w:rsid w:val="67770DF7"/>
    <w:rsid w:val="679C27B9"/>
    <w:rsid w:val="67A34F6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872694"/>
    <w:rsid w:val="6EA047F7"/>
    <w:rsid w:val="6EFB5292"/>
    <w:rsid w:val="6F062BB9"/>
    <w:rsid w:val="6F185329"/>
    <w:rsid w:val="6F213E8F"/>
    <w:rsid w:val="70964089"/>
    <w:rsid w:val="70E64A50"/>
    <w:rsid w:val="71231A63"/>
    <w:rsid w:val="714B6E37"/>
    <w:rsid w:val="71C72BEE"/>
    <w:rsid w:val="72AA2579"/>
    <w:rsid w:val="73164466"/>
    <w:rsid w:val="73614D85"/>
    <w:rsid w:val="7363682B"/>
    <w:rsid w:val="737C091C"/>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53BC6"/>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D3AEF"/>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12362</Words>
  <Characters>12655</Characters>
  <Lines>182</Lines>
  <Paragraphs>51</Paragraphs>
  <TotalTime>2</TotalTime>
  <ScaleCrop>false</ScaleCrop>
  <LinksUpToDate>false</LinksUpToDate>
  <CharactersWithSpaces>13659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2026-08-05T02:37:56Z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