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萱花院区LED屏维修服务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3588"/>
      <w:bookmarkStart w:id="1" w:name="_Toc25875"/>
      <w:bookmarkStart w:id="2" w:name="_Toc6921"/>
      <w:bookmarkStart w:id="3" w:name="_Toc485108766"/>
      <w:bookmarkStart w:id="4" w:name="_Toc11641050"/>
      <w:bookmarkStart w:id="5" w:name="_Toc12789052"/>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485108767"/>
      <w:bookmarkStart w:id="10" w:name="_Toc313893526"/>
      <w:bookmarkStart w:id="11" w:name="_Toc317775175"/>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：自筹资金,项目预算：6万元/三年。</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w:t>
      </w:r>
      <w:bookmarkStart w:id="189" w:name="_GoBack"/>
      <w:bookmarkEnd w:id="189"/>
      <w:r>
        <w:rPr>
          <w:rFonts w:hint="eastAsia" w:ascii="宋体" w:hAnsi="宋体" w:eastAsia="宋体" w:cs="宋体"/>
          <w:color w:val="000000" w:themeColor="text1"/>
          <w:sz w:val="24"/>
          <w:szCs w:val="24"/>
          <w:shd w:val="clear" w:color="auto" w:fill="auto"/>
          <w14:textFill>
            <w14:solidFill>
              <w14:schemeClr w14:val="tx1"/>
            </w14:solidFill>
          </w14:textFill>
        </w:rPr>
        <w:t>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1.参选报价为包干价，包含但不限于货款、税费、运输费、保险费、安装费、调试费等各项费用。(报价表见第六章)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056F45D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1.服务范围及内容：</w:t>
      </w:r>
    </w:p>
    <w:p w14:paraId="7B1B294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（1）服务范围涵盖萱花院区2号楼、3号楼共计17个点位的LED显示屏系统（含室外双基色屏及室内全彩/双基色屏）。</w:t>
      </w:r>
    </w:p>
    <w:p w14:paraId="60E8439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（2）服务内容包括软件调试维护、硬件维修更换。成交供应商须确保所有LED显示屏在服务期内正常运行，显示效果满足采购人日常信息发布及宣传需求。</w:t>
      </w:r>
    </w:p>
    <w:p w14:paraId="5D75108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（3）LED屏设备清单：</w:t>
      </w:r>
    </w:p>
    <w:tbl>
      <w:tblPr>
        <w:tblStyle w:val="58"/>
        <w:tblW w:w="7937" w:type="dxa"/>
        <w:jc w:val="center"/>
        <w:tblLayout w:type="autofit"/>
        <w:tblCellMar>
          <w:top w:w="0" w:type="dxa"/>
          <w:left w:w="108" w:type="dxa"/>
          <w:bottom w:w="0" w:type="dxa"/>
          <w:right w:w="108" w:type="dxa"/>
        </w:tblCellMar>
      </w:tblPr>
      <w:tblGrid>
        <w:gridCol w:w="672"/>
        <w:gridCol w:w="1011"/>
        <w:gridCol w:w="1704"/>
        <w:gridCol w:w="2208"/>
        <w:gridCol w:w="2342"/>
      </w:tblGrid>
      <w:tr w14:paraId="130B95C3">
        <w:tblPrEx>
          <w:tblCellMar>
            <w:top w:w="0" w:type="dxa"/>
            <w:left w:w="108" w:type="dxa"/>
            <w:bottom w:w="0" w:type="dxa"/>
            <w:right w:w="108" w:type="dxa"/>
          </w:tblCellMar>
        </w:tblPrEx>
        <w:trPr>
          <w:trHeight w:val="64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ED11">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B0DF">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安装楼宇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0886">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安装名称</w:t>
            </w:r>
            <w:r>
              <w:rPr>
                <w:rFonts w:hint="eastAsia" w:ascii="宋体" w:hAnsi="宋体" w:eastAsia="宋体" w:cs="宋体"/>
                <w:b/>
                <w:bCs/>
                <w:color w:val="FF0000"/>
                <w:sz w:val="18"/>
                <w:szCs w:val="18"/>
                <w:shd w:val="clear" w:color="auto" w:fill="FFFFFF"/>
              </w:rPr>
              <w:br w:type="textWrapping"/>
            </w:r>
            <w:r>
              <w:rPr>
                <w:rFonts w:hint="eastAsia" w:ascii="宋体" w:hAnsi="宋体" w:eastAsia="宋体" w:cs="宋体"/>
                <w:b/>
                <w:bCs/>
                <w:color w:val="FF0000"/>
                <w:sz w:val="18"/>
                <w:szCs w:val="18"/>
                <w:shd w:val="clear" w:color="auto" w:fill="FFFFFF"/>
              </w:rPr>
              <w:t>及位置</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36E4">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规格</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E848">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尺寸</w:t>
            </w:r>
          </w:p>
        </w:tc>
      </w:tr>
      <w:tr w14:paraId="4A71F99B">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B88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94C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B50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A9C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3F2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15000*1200mm</w:t>
            </w:r>
          </w:p>
        </w:tc>
      </w:tr>
      <w:tr w14:paraId="24D25FDD">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D0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A0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117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一楼大厅圆柱</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BF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室内P3全彩</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F1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展开11136*1344mm</w:t>
            </w:r>
          </w:p>
        </w:tc>
      </w:tr>
      <w:tr w14:paraId="0FD607A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F06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1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87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66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78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11956*556mm</w:t>
            </w:r>
          </w:p>
        </w:tc>
      </w:tr>
      <w:tr w14:paraId="016FAFC7">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F31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64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1D2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00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63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11044*556mm</w:t>
            </w:r>
          </w:p>
        </w:tc>
      </w:tr>
      <w:tr w14:paraId="43F26175">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A08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808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7B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D44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00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7396*556mm</w:t>
            </w:r>
          </w:p>
        </w:tc>
      </w:tr>
      <w:tr w14:paraId="6BF5396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2A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6</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061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7C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BF8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D21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1D051E16">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14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34A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7B5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185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3A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19252*556mm</w:t>
            </w:r>
          </w:p>
        </w:tc>
      </w:tr>
      <w:tr w14:paraId="5CC71B6E">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B49A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2C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CA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住院收费处2</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B7F7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659F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4820*556mm</w:t>
            </w:r>
          </w:p>
        </w:tc>
      </w:tr>
      <w:tr w14:paraId="48720C20">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ECB3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1B0C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18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二楼麻醉科门诊</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CD1A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183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r w14:paraId="6DA4DD3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DC0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5E6A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C17E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门诊收费3</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89C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AA2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67EEC31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FA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C5B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8BC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采血室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B6D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94A6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8004*556mm</w:t>
            </w:r>
          </w:p>
        </w:tc>
      </w:tr>
      <w:tr w14:paraId="6D9AEED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7E1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694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316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三楼检验科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4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4E9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14100*390mm</w:t>
            </w:r>
          </w:p>
        </w:tc>
      </w:tr>
      <w:tr w14:paraId="25FA400A">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0E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A3E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0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三楼病理科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99B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C5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1250*390mm</w:t>
            </w:r>
          </w:p>
        </w:tc>
      </w:tr>
      <w:tr w14:paraId="68129948">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3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2C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862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三楼输血科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B77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43F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2200*390mm</w:t>
            </w:r>
          </w:p>
        </w:tc>
      </w:tr>
      <w:tr w14:paraId="57108057">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1E4BF25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57F3DBD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41C9316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215ED62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50E1A49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7100*600mm</w:t>
            </w:r>
          </w:p>
        </w:tc>
      </w:tr>
      <w:tr w14:paraId="7F6F7A68">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621098E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16</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2331486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1A6308F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310CD6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4225D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2910*350mm</w:t>
            </w:r>
          </w:p>
        </w:tc>
      </w:tr>
      <w:tr w14:paraId="14677514">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A89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90A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02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A04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48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bl>
    <w:p w14:paraId="0A8D165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（4）参选供应商应自行前往重庆医科大学附属永川医院萱花院区进行现场踏勘（联系方式：王老师，15802366956），充分了解各LED屏安装环境、设备现状、运行状态及室外屏高空作业条件等实际情况。</w:t>
      </w:r>
      <w:r>
        <w:rPr>
          <w:rFonts w:hint="eastAsia" w:ascii="宋体" w:hAnsi="宋体" w:eastAsia="宋体" w:cs="宋体"/>
          <w:color w:val="FF0000"/>
          <w:sz w:val="24"/>
          <w:szCs w:val="24"/>
          <w:shd w:val="clear" w:color="auto" w:fill="auto"/>
          <w:lang w:val="en-US" w:eastAsia="zh-CN"/>
        </w:rPr>
        <w:t>因踏勘不充分导致的报价偏差、配件选型错误、服务方案不合理等后果由自行负责，成交后不得以未充分了解现场为由要求调整价格或免除责任。</w:t>
      </w:r>
    </w:p>
    <w:p w14:paraId="76318CA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31A8F81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（1）软件调试服务：保障采购人在用LED显示屏系统软件的正常运行，提供显示板、电源、控制系统、驱动IC、显示器操作软件等全系统的技术调试与维护服务。包括但不限于以下内容：</w:t>
      </w:r>
    </w:p>
    <w:p w14:paraId="46DA1D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①系统软件日常调试与故障排除；</w:t>
      </w:r>
    </w:p>
    <w:p w14:paraId="76714F8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②显示内容异常（花屏、闪屏、黑屏、局部不亮等）的软件层面排查修复；</w:t>
      </w:r>
    </w:p>
    <w:p w14:paraId="42264CC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③操作系统及播放软件的参数配置优化；</w:t>
      </w:r>
    </w:p>
    <w:p w14:paraId="1691429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④控制系统固件版本检查及兼容性调试；</w:t>
      </w:r>
    </w:p>
    <w:p w14:paraId="7361280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⑤屏幕亮度、色温、对比度等显示参数的校准优化；</w:t>
      </w:r>
    </w:p>
    <w:p w14:paraId="3C89A0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⑥根据采购人宣传需求调整播放内容布局及显示效果。</w:t>
      </w:r>
    </w:p>
    <w:p w14:paraId="386F7F5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（2）硬件维修服务：提供LED显示屏系统硬件故障的诊断与维修服务，包括但不限于以下配件的检测、维修及更换：</w:t>
      </w:r>
    </w:p>
    <w:p w14:paraId="7CBAAC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①模组；</w:t>
      </w:r>
    </w:p>
    <w:p w14:paraId="48D784E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②开关电源；</w:t>
      </w:r>
    </w:p>
    <w:p w14:paraId="47C3559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③接收卡、发送卡、同步卡、异步卡、LED控制卡；</w:t>
      </w:r>
    </w:p>
    <w:p w14:paraId="370D4C2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④LED变压器、转接板、排线、网线、电源线；</w:t>
      </w:r>
    </w:p>
    <w:p w14:paraId="212ECEB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⑤视频处理器；</w:t>
      </w:r>
    </w:p>
    <w:p w14:paraId="0461E64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⑥边框结构件等辅助配件。</w:t>
      </w:r>
    </w:p>
    <w:p w14:paraId="111C6DD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3.维修响应要求：成交供应商需使用采购人指定报修平台接受维修工单，并提供7×24小时报修联系方式（含固定电话及手机），确保报修渠道畅通。在接到采购人的报修信息后，需在6小时内到达现场检查、维修。</w:t>
      </w:r>
    </w:p>
    <w:p w14:paraId="663BE1C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4.配件兼容性要求：</w:t>
      </w:r>
    </w:p>
    <w:p w14:paraId="64E39D9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（1）成交供应商所提供的维修配件（含模组、电源、接收卡、控制卡等）必须与采购人现用的LED屏系统完全兼容，确保更换后显示效果与原屏一致，无明显色差及亮度差异。</w:t>
      </w:r>
    </w:p>
    <w:p w14:paraId="27A470F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（2）因成交供应商提供的配件兼容性问题导致设备无法正常运行或发生二次硬件损坏的，由此造成的全部损失（包含但不限于配件成本、连带损坏设备维修更换费用、业务影响损失等）由成交供应商承担。</w:t>
      </w:r>
    </w:p>
    <w:p w14:paraId="708C9BD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（3）参选供应商须在比选文件中提供配件兼容性承诺函（格式自拟），并加盖公章，未提供的视为不满足实质性要求。</w:t>
      </w:r>
    </w:p>
    <w:p w14:paraId="434FAD4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5.服务规范</w:t>
      </w:r>
    </w:p>
    <w:p w14:paraId="49EDF82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成交供应商在提供维保服务时，须遵守以下规范：</w:t>
      </w:r>
    </w:p>
    <w:p w14:paraId="217380C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（1）现场维修人员须着装整洁，遵守医院内部管理规定；</w:t>
      </w:r>
    </w:p>
    <w:p w14:paraId="428F8CF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（2）维修作业前须对周边设备及环境采取必要的防护措施，避免维修过程中对相邻设备或人员造成损害；</w:t>
      </w:r>
    </w:p>
    <w:p w14:paraId="1E1891B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（3）涉及高空作业（如大门上方室外屏）的，需自行配备安全防护装备，承担作业安全责任；</w:t>
      </w:r>
    </w:p>
    <w:p w14:paraId="39EFD9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（4）硬件更换完成后须对整屏进行显示效果测试，确认无异常后方可撤离；</w:t>
      </w:r>
    </w:p>
    <w:p w14:paraId="4849883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（5）每次维修及巡检后须填写《维修确认单》，由采购人使用科室签字确认，作为服务结算凭证。</w:t>
      </w:r>
    </w:p>
    <w:p w14:paraId="3295D9E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49E0EB62">
      <w:pPr>
        <w:pStyle w:val="51"/>
        <w:widowControl/>
        <w:numPr>
          <w:ilvl w:val="0"/>
          <w:numId w:val="0"/>
        </w:numPr>
        <w:spacing w:beforeAutospacing="0" w:afterAutospacing="0" w:line="520" w:lineRule="exact"/>
        <w:ind w:firstLine="560" w:firstLineChars="200"/>
        <w:rPr>
          <w:rFonts w:eastAsia="方正仿宋_GBK"/>
          <w:color w:val="000000" w:themeColor="text1"/>
          <w:kern w:val="2"/>
          <w:sz w:val="28"/>
          <w:szCs w:val="28"/>
          <w14:textFill>
            <w14:solidFill>
              <w14:schemeClr w14:val="tx1"/>
            </w14:solidFill>
          </w14:textFill>
        </w:rPr>
      </w:pPr>
    </w:p>
    <w:p w14:paraId="1DFE38CA">
      <w:pPr>
        <w:spacing w:line="520" w:lineRule="exact"/>
        <w:ind w:firstLine="420" w:firstLineChars="200"/>
        <w:rPr>
          <w:rFonts w:hint="default" w:eastAsia="方正仿宋_GBK"/>
          <w:color w:val="000000" w:themeColor="text1"/>
          <w:szCs w:val="28"/>
          <w:lang w:val="en-US" w:eastAsia="zh-CN"/>
          <w14:textFill>
            <w14:solidFill>
              <w14:schemeClr w14:val="tx1"/>
            </w14:solidFill>
          </w14:textFill>
        </w:rPr>
      </w:pPr>
    </w:p>
    <w:p w14:paraId="10F44E35">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0A5DCCD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1C1CFA6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244484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628AA8B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D7158D">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4" w:name="_Toc4364"/>
      <w:bookmarkStart w:id="75" w:name="_Toc17014"/>
    </w:p>
    <w:p w14:paraId="326719F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45CD5A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43A71A">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40CC7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BE2117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76321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EC08F9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044D48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B497ED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考核方式：服务期内，采购人每月对成交供应商合同履行能力、维保服务质量等进行确认(包含但不限于响应维修的及时性、服务态度及维修服务记录情况)，成交供应商有义务配合采购人进行合同确认工作。若确认合格，合同继续履行；若确认不合格，采购人可随时终止合同。</w:t>
      </w:r>
    </w:p>
    <w:p w14:paraId="55A0CB8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2.报价要求：</w:t>
      </w:r>
    </w:p>
    <w:p w14:paraId="60C0B91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（1）参选为包干价，包含但不限于货款、税费、运输费、保险费、安装费、调试费等各项费用</w:t>
      </w:r>
    </w:p>
    <w:p w14:paraId="4035ABB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（2）参选供应商需补充报价表接收卡、LED变压器、LED控制卡、发送卡、同步卡、异步卡、排线等配件和耗材的品牌型号信息。</w:t>
      </w:r>
    </w:p>
    <w:p w14:paraId="5F1FD87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401D65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3.产品质量要求：配件质保期≥1年，供应商提供的配件必须是原装产品。</w:t>
      </w:r>
    </w:p>
    <w:p w14:paraId="0FD7734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4.付款方式：维修费用将根据实际发生的维修次数及所更换的配件、耗材用量据实结算，成交供应商提供维修清单和发票，经采购人审核无误后60日内支付款项。</w:t>
      </w:r>
    </w:p>
    <w:p w14:paraId="64635A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5.安全要求：</w:t>
      </w:r>
      <w:r>
        <w:rPr>
          <w:rFonts w:hint="eastAsia" w:ascii="宋体" w:hAnsi="宋体" w:eastAsia="宋体" w:cs="宋体"/>
          <w:color w:val="FF0000"/>
          <w:sz w:val="24"/>
          <w:szCs w:val="24"/>
          <w:shd w:val="clear" w:color="auto" w:fill="auto"/>
          <w:lang w:val="en-US" w:eastAsia="zh-CN"/>
        </w:rPr>
        <w:t>成交供应商对检查、维修、维护全过程的安全负责，维修服务时，供应商应采取有效的安全措施，保障采购人的数据安全，保证维修人员和其他人员的人身安全，并承担因安全事故导致的一切经济和法律责任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5E9434A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6.其他：服务期满或付款金额超过6万元时，合同自动终止。</w:t>
      </w:r>
    </w:p>
    <w:p w14:paraId="39509B58">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7.服务期限：3年</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9842" w:type="dxa"/>
        <w:jc w:val="center"/>
        <w:tblLayout w:type="fixed"/>
        <w:tblCellMar>
          <w:top w:w="0" w:type="dxa"/>
          <w:left w:w="108" w:type="dxa"/>
          <w:bottom w:w="0" w:type="dxa"/>
          <w:right w:w="108" w:type="dxa"/>
        </w:tblCellMar>
      </w:tblPr>
      <w:tblGrid>
        <w:gridCol w:w="660"/>
        <w:gridCol w:w="2076"/>
        <w:gridCol w:w="1528"/>
        <w:gridCol w:w="1529"/>
        <w:gridCol w:w="660"/>
        <w:gridCol w:w="660"/>
        <w:gridCol w:w="660"/>
        <w:gridCol w:w="660"/>
        <w:gridCol w:w="1409"/>
      </w:tblGrid>
      <w:tr w14:paraId="7AB40079">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8D3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序号</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B86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名称</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D8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适配要求</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E9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品牌</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083F">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生产厂家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999B">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规格型号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18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DEA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数量</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74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单价</w:t>
            </w:r>
          </w:p>
        </w:tc>
      </w:tr>
      <w:tr w14:paraId="206FDBA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F2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2EE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A8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8D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7D1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0A5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5B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BF7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CABA">
            <w:pPr>
              <w:spacing w:line="360" w:lineRule="auto"/>
              <w:jc w:val="center"/>
              <w:rPr>
                <w:color w:val="000000" w:themeColor="text1"/>
                <w:sz w:val="18"/>
                <w:szCs w:val="18"/>
                <w:shd w:val="clear" w:color="auto" w:fill="FFFFFF"/>
                <w14:textFill>
                  <w14:solidFill>
                    <w14:schemeClr w14:val="tx1"/>
                  </w14:solidFill>
                </w14:textFill>
              </w:rPr>
            </w:pPr>
          </w:p>
        </w:tc>
      </w:tr>
      <w:tr w14:paraId="3CE2A61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1B8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0E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E2B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B2D9">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221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136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9A3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38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201C">
            <w:pPr>
              <w:spacing w:line="360" w:lineRule="auto"/>
              <w:jc w:val="center"/>
              <w:rPr>
                <w:color w:val="000000" w:themeColor="text1"/>
                <w:sz w:val="18"/>
                <w:szCs w:val="18"/>
                <w:shd w:val="clear" w:color="auto" w:fill="FFFFFF"/>
                <w14:textFill>
                  <w14:solidFill>
                    <w14:schemeClr w14:val="tx1"/>
                  </w14:solidFill>
                </w14:textFill>
              </w:rPr>
            </w:pPr>
          </w:p>
        </w:tc>
      </w:tr>
      <w:tr w14:paraId="5834A4F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9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029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2EF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090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CBD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EEF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60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9A4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C895">
            <w:pPr>
              <w:spacing w:line="360" w:lineRule="auto"/>
              <w:jc w:val="center"/>
              <w:rPr>
                <w:color w:val="000000" w:themeColor="text1"/>
                <w:sz w:val="18"/>
                <w:szCs w:val="18"/>
                <w:shd w:val="clear" w:color="auto" w:fill="FFFFFF"/>
                <w14:textFill>
                  <w14:solidFill>
                    <w14:schemeClr w14:val="tx1"/>
                  </w14:solidFill>
                </w14:textFill>
              </w:rPr>
            </w:pPr>
          </w:p>
        </w:tc>
      </w:tr>
      <w:tr w14:paraId="52C44B3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C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3C6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AD6A">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适配200W-5V</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97A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A37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195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94C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11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001B">
            <w:pPr>
              <w:spacing w:line="360" w:lineRule="auto"/>
              <w:jc w:val="center"/>
              <w:rPr>
                <w:color w:val="000000" w:themeColor="text1"/>
                <w:sz w:val="18"/>
                <w:szCs w:val="18"/>
                <w:shd w:val="clear" w:color="auto" w:fill="FFFFFF"/>
                <w14:textFill>
                  <w14:solidFill>
                    <w14:schemeClr w14:val="tx1"/>
                  </w14:solidFill>
                </w14:textFill>
              </w:rPr>
            </w:pPr>
          </w:p>
        </w:tc>
      </w:tr>
      <w:tr w14:paraId="01E1057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041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5AC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6EC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6D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890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94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F06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144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A3B8">
            <w:pPr>
              <w:spacing w:line="360" w:lineRule="auto"/>
              <w:jc w:val="center"/>
              <w:rPr>
                <w:color w:val="000000" w:themeColor="text1"/>
                <w:sz w:val="18"/>
                <w:szCs w:val="18"/>
                <w:shd w:val="clear" w:color="auto" w:fill="FFFFFF"/>
                <w14:textFill>
                  <w14:solidFill>
                    <w14:schemeClr w14:val="tx1"/>
                  </w14:solidFill>
                </w14:textFill>
              </w:rPr>
            </w:pPr>
          </w:p>
        </w:tc>
      </w:tr>
      <w:tr w14:paraId="716AEF9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6CE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30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9A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6F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996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9E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1B1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01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574D">
            <w:pPr>
              <w:spacing w:line="360" w:lineRule="auto"/>
              <w:jc w:val="center"/>
              <w:rPr>
                <w:color w:val="000000" w:themeColor="text1"/>
                <w:sz w:val="18"/>
                <w:szCs w:val="18"/>
                <w:shd w:val="clear" w:color="auto" w:fill="FFFFFF"/>
                <w14:textFill>
                  <w14:solidFill>
                    <w14:schemeClr w14:val="tx1"/>
                  </w14:solidFill>
                </w14:textFill>
              </w:rPr>
            </w:pPr>
          </w:p>
        </w:tc>
      </w:tr>
      <w:tr w14:paraId="22F4E3E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DA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93C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87E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C6A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11B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A42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56F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46B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CE18">
            <w:pPr>
              <w:spacing w:line="360" w:lineRule="auto"/>
              <w:jc w:val="center"/>
              <w:rPr>
                <w:color w:val="000000" w:themeColor="text1"/>
                <w:sz w:val="18"/>
                <w:szCs w:val="18"/>
                <w:shd w:val="clear" w:color="auto" w:fill="FFFFFF"/>
                <w14:textFill>
                  <w14:solidFill>
                    <w14:schemeClr w14:val="tx1"/>
                  </w14:solidFill>
                </w14:textFill>
              </w:rPr>
            </w:pPr>
          </w:p>
        </w:tc>
      </w:tr>
      <w:tr w14:paraId="416B4AE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6C8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96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FCA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41E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18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868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836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29C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6320">
            <w:pPr>
              <w:spacing w:line="360" w:lineRule="auto"/>
              <w:jc w:val="center"/>
              <w:rPr>
                <w:color w:val="000000" w:themeColor="text1"/>
                <w:sz w:val="18"/>
                <w:szCs w:val="18"/>
                <w:shd w:val="clear" w:color="auto" w:fill="FFFFFF"/>
                <w14:textFill>
                  <w14:solidFill>
                    <w14:schemeClr w14:val="tx1"/>
                  </w14:solidFill>
                </w14:textFill>
              </w:rPr>
            </w:pPr>
          </w:p>
        </w:tc>
      </w:tr>
      <w:tr w14:paraId="70D18CE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A6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55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879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51A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B1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995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6C7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E2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E189">
            <w:pPr>
              <w:spacing w:line="360" w:lineRule="auto"/>
              <w:jc w:val="center"/>
              <w:rPr>
                <w:color w:val="000000" w:themeColor="text1"/>
                <w:sz w:val="18"/>
                <w:szCs w:val="18"/>
                <w:shd w:val="clear" w:color="auto" w:fill="FFFFFF"/>
                <w14:textFill>
                  <w14:solidFill>
                    <w14:schemeClr w14:val="tx1"/>
                  </w14:solidFill>
                </w14:textFill>
              </w:rPr>
            </w:pPr>
          </w:p>
        </w:tc>
      </w:tr>
      <w:tr w14:paraId="75A1DF2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E0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CF0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EC5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EF3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58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DDD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0D4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04F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ED5E">
            <w:pPr>
              <w:spacing w:line="360" w:lineRule="auto"/>
              <w:jc w:val="center"/>
              <w:rPr>
                <w:color w:val="000000" w:themeColor="text1"/>
                <w:sz w:val="18"/>
                <w:szCs w:val="18"/>
                <w:shd w:val="clear" w:color="auto" w:fill="FFFFFF"/>
                <w14:textFill>
                  <w14:solidFill>
                    <w14:schemeClr w14:val="tx1"/>
                  </w14:solidFill>
                </w14:textFill>
              </w:rPr>
            </w:pPr>
          </w:p>
        </w:tc>
      </w:tr>
      <w:tr w14:paraId="5A8D4281">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25A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4E4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45F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B40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5C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D51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255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4FE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054A">
            <w:pPr>
              <w:spacing w:line="360" w:lineRule="auto"/>
              <w:jc w:val="center"/>
              <w:rPr>
                <w:color w:val="000000" w:themeColor="text1"/>
                <w:sz w:val="18"/>
                <w:szCs w:val="18"/>
                <w:shd w:val="clear" w:color="auto" w:fill="FFFFFF"/>
                <w14:textFill>
                  <w14:solidFill>
                    <w14:schemeClr w14:val="tx1"/>
                  </w14:solidFill>
                </w14:textFill>
              </w:rPr>
            </w:pPr>
          </w:p>
        </w:tc>
      </w:tr>
      <w:tr w14:paraId="42ED9CF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52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491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DAA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F13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4F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C2E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F31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12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CB4B">
            <w:pPr>
              <w:spacing w:line="360" w:lineRule="auto"/>
              <w:jc w:val="center"/>
              <w:rPr>
                <w:color w:val="000000" w:themeColor="text1"/>
                <w:sz w:val="18"/>
                <w:szCs w:val="18"/>
                <w:shd w:val="clear" w:color="auto" w:fill="FFFFFF"/>
                <w14:textFill>
                  <w14:solidFill>
                    <w14:schemeClr w14:val="tx1"/>
                  </w14:solidFill>
                </w14:textFill>
              </w:rPr>
            </w:pPr>
          </w:p>
        </w:tc>
      </w:tr>
      <w:tr w14:paraId="579086C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E8F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1D4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8BB7">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12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57C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6C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489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E2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5290">
            <w:pPr>
              <w:spacing w:line="360" w:lineRule="auto"/>
              <w:jc w:val="center"/>
              <w:rPr>
                <w:color w:val="000000" w:themeColor="text1"/>
                <w:sz w:val="18"/>
                <w:szCs w:val="18"/>
                <w:shd w:val="clear" w:color="auto" w:fill="FFFFFF"/>
                <w14:textFill>
                  <w14:solidFill>
                    <w14:schemeClr w14:val="tx1"/>
                  </w14:solidFill>
                </w14:textFill>
              </w:rPr>
            </w:pPr>
          </w:p>
        </w:tc>
      </w:tr>
      <w:tr w14:paraId="42D395F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31D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7BF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732D">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6F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654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FB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563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9C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987B">
            <w:pPr>
              <w:spacing w:line="360" w:lineRule="auto"/>
              <w:jc w:val="center"/>
              <w:rPr>
                <w:color w:val="000000" w:themeColor="text1"/>
                <w:sz w:val="18"/>
                <w:szCs w:val="18"/>
                <w:shd w:val="clear" w:color="auto" w:fill="FFFFFF"/>
                <w14:textFill>
                  <w14:solidFill>
                    <w14:schemeClr w14:val="tx1"/>
                  </w14:solidFill>
                </w14:textFill>
              </w:rPr>
            </w:pPr>
          </w:p>
        </w:tc>
      </w:tr>
      <w:tr w14:paraId="13A4FF4D">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EBD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A9D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F5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58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BB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507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32E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47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AA13">
            <w:pPr>
              <w:spacing w:line="360" w:lineRule="auto"/>
              <w:jc w:val="center"/>
              <w:rPr>
                <w:color w:val="000000" w:themeColor="text1"/>
                <w:sz w:val="18"/>
                <w:szCs w:val="18"/>
                <w:shd w:val="clear" w:color="auto" w:fill="FFFFFF"/>
                <w14:textFill>
                  <w14:solidFill>
                    <w14:schemeClr w14:val="tx1"/>
                  </w14:solidFill>
                </w14:textFill>
              </w:rPr>
            </w:pPr>
          </w:p>
        </w:tc>
      </w:tr>
      <w:tr w14:paraId="4A62056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556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E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A8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108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35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A45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1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86E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0EFE">
            <w:pPr>
              <w:spacing w:line="360" w:lineRule="auto"/>
              <w:jc w:val="center"/>
              <w:rPr>
                <w:color w:val="000000" w:themeColor="text1"/>
                <w:sz w:val="18"/>
                <w:szCs w:val="18"/>
                <w:shd w:val="clear" w:color="auto" w:fill="FFFFFF"/>
                <w14:textFill>
                  <w14:solidFill>
                    <w14:schemeClr w14:val="tx1"/>
                  </w14:solidFill>
                </w14:textFill>
              </w:rPr>
            </w:pPr>
          </w:p>
        </w:tc>
      </w:tr>
      <w:tr w14:paraId="3B62FB25">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38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C0C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613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C5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EA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F0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F24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81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CDF7">
            <w:pPr>
              <w:spacing w:line="360" w:lineRule="auto"/>
              <w:jc w:val="center"/>
              <w:rPr>
                <w:color w:val="000000" w:themeColor="text1"/>
                <w:sz w:val="18"/>
                <w:szCs w:val="18"/>
                <w:shd w:val="clear" w:color="auto" w:fill="FFFFFF"/>
                <w14:textFill>
                  <w14:solidFill>
                    <w14:schemeClr w14:val="tx1"/>
                  </w14:solidFill>
                </w14:textFill>
              </w:rPr>
            </w:pPr>
          </w:p>
        </w:tc>
      </w:tr>
      <w:tr w14:paraId="0F71974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709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D29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FA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640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3CD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C16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E6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E23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BB41">
            <w:pPr>
              <w:spacing w:line="360" w:lineRule="auto"/>
              <w:jc w:val="center"/>
              <w:rPr>
                <w:color w:val="000000" w:themeColor="text1"/>
                <w:sz w:val="18"/>
                <w:szCs w:val="18"/>
                <w:shd w:val="clear" w:color="auto" w:fill="FFFFFF"/>
                <w14:textFill>
                  <w14:solidFill>
                    <w14:schemeClr w14:val="tx1"/>
                  </w14:solidFill>
                </w14:textFill>
              </w:rPr>
            </w:pPr>
          </w:p>
        </w:tc>
      </w:tr>
      <w:tr w14:paraId="7A5B5CC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9E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8B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6FA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B47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AB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9F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B02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575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97FD">
            <w:pPr>
              <w:spacing w:line="360" w:lineRule="auto"/>
              <w:jc w:val="center"/>
              <w:rPr>
                <w:color w:val="000000" w:themeColor="text1"/>
                <w:sz w:val="18"/>
                <w:szCs w:val="18"/>
                <w:shd w:val="clear" w:color="auto" w:fill="FFFFFF"/>
                <w14:textFill>
                  <w14:solidFill>
                    <w14:schemeClr w14:val="tx1"/>
                  </w14:solidFill>
                </w14:textFill>
              </w:rPr>
            </w:pPr>
          </w:p>
        </w:tc>
      </w:tr>
      <w:tr w14:paraId="6DEECFC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81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CA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6F8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EC0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FF8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9E2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30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FC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970D">
            <w:pPr>
              <w:spacing w:line="360" w:lineRule="auto"/>
              <w:jc w:val="center"/>
              <w:rPr>
                <w:color w:val="000000" w:themeColor="text1"/>
                <w:sz w:val="18"/>
                <w:szCs w:val="18"/>
                <w:shd w:val="clear" w:color="auto" w:fill="FFFFFF"/>
                <w14:textFill>
                  <w14:solidFill>
                    <w14:schemeClr w14:val="tx1"/>
                  </w14:solidFill>
                </w14:textFill>
              </w:rPr>
            </w:pPr>
          </w:p>
        </w:tc>
      </w:tr>
      <w:tr w14:paraId="0E39401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B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0E0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8AA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E34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A5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4BB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4C0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8F2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8A75">
            <w:pPr>
              <w:spacing w:line="360" w:lineRule="auto"/>
              <w:jc w:val="center"/>
              <w:rPr>
                <w:color w:val="000000" w:themeColor="text1"/>
                <w:sz w:val="18"/>
                <w:szCs w:val="18"/>
                <w:shd w:val="clear" w:color="auto" w:fill="FFFFFF"/>
                <w14:textFill>
                  <w14:solidFill>
                    <w14:schemeClr w14:val="tx1"/>
                  </w14:solidFill>
                </w14:textFill>
              </w:rPr>
            </w:pPr>
          </w:p>
        </w:tc>
      </w:tr>
      <w:tr w14:paraId="76D7F34C">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323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F6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760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D8B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4AD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A3F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BA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855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73C9">
            <w:pPr>
              <w:spacing w:line="360" w:lineRule="auto"/>
              <w:jc w:val="center"/>
              <w:rPr>
                <w:color w:val="000000" w:themeColor="text1"/>
                <w:sz w:val="18"/>
                <w:szCs w:val="18"/>
                <w:shd w:val="clear" w:color="auto" w:fill="FFFFFF"/>
                <w14:textFill>
                  <w14:solidFill>
                    <w14:schemeClr w14:val="tx1"/>
                  </w14:solidFill>
                </w14:textFill>
              </w:rPr>
            </w:pPr>
          </w:p>
        </w:tc>
      </w:tr>
      <w:tr w14:paraId="0F98550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8F4F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23</w:t>
            </w:r>
          </w:p>
        </w:tc>
        <w:tc>
          <w:tcPr>
            <w:tcW w:w="20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2B485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排线</w:t>
            </w:r>
          </w:p>
        </w:tc>
        <w:tc>
          <w:tcPr>
            <w:tcW w:w="152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BEBE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E2463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E2F88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4EA2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C2F6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根</w:t>
            </w: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8A470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BA75C5">
            <w:pPr>
              <w:spacing w:line="360" w:lineRule="auto"/>
              <w:jc w:val="center"/>
              <w:rPr>
                <w:color w:val="000000" w:themeColor="text1"/>
                <w:sz w:val="18"/>
                <w:szCs w:val="18"/>
                <w:shd w:val="clear" w:color="auto" w:fill="FFFFFF"/>
                <w14:textFill>
                  <w14:solidFill>
                    <w14:schemeClr w14:val="tx1"/>
                  </w14:solidFill>
                </w14:textFill>
              </w:rPr>
            </w:pPr>
          </w:p>
        </w:tc>
      </w:tr>
      <w:tr w14:paraId="2BDE4E91">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252A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24</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2919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5AD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适配BVR1*2.5mm2</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27F6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2D32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A879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4F25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71A8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A4931">
            <w:pPr>
              <w:spacing w:line="360" w:lineRule="auto"/>
              <w:jc w:val="center"/>
              <w:rPr>
                <w:color w:val="000000" w:themeColor="text1"/>
                <w:sz w:val="18"/>
                <w:szCs w:val="18"/>
                <w:shd w:val="clear" w:color="auto" w:fill="FFFFFF"/>
                <w14:textFill>
                  <w14:solidFill>
                    <w14:schemeClr w14:val="tx1"/>
                  </w14:solidFill>
                </w14:textFill>
              </w:rPr>
            </w:pPr>
          </w:p>
        </w:tc>
      </w:tr>
      <w:tr w14:paraId="2C7FC53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E78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25</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C52F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视频处理器</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2A51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性能不低于Novastar V900</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6631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4A5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F967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557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台</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493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E713D">
            <w:pPr>
              <w:spacing w:line="360" w:lineRule="auto"/>
              <w:jc w:val="center"/>
              <w:rPr>
                <w:color w:val="000000" w:themeColor="text1"/>
                <w:sz w:val="18"/>
                <w:szCs w:val="18"/>
                <w:shd w:val="clear" w:color="auto" w:fill="FFFFFF"/>
                <w14:textFill>
                  <w14:solidFill>
                    <w14:schemeClr w14:val="tx1"/>
                  </w14:solidFill>
                </w14:textFill>
              </w:rPr>
            </w:pPr>
          </w:p>
        </w:tc>
      </w:tr>
      <w:tr w14:paraId="300B8E2D">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081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26</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EEBA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磁柱</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AA81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3F32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9F9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6C58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8716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颗</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B380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6FB50">
            <w:pPr>
              <w:spacing w:line="360" w:lineRule="auto"/>
              <w:jc w:val="center"/>
              <w:rPr>
                <w:color w:val="000000" w:themeColor="text1"/>
                <w:sz w:val="18"/>
                <w:szCs w:val="18"/>
                <w:shd w:val="clear" w:color="auto" w:fill="FFFFFF"/>
                <w14:textFill>
                  <w14:solidFill>
                    <w14:schemeClr w14:val="tx1"/>
                  </w14:solidFill>
                </w14:textFill>
              </w:rPr>
            </w:pPr>
          </w:p>
        </w:tc>
      </w:tr>
      <w:tr w14:paraId="183771F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F12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27</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79F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DF42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4AD3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5490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64F7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90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E193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ADD55">
            <w:pPr>
              <w:spacing w:line="360" w:lineRule="auto"/>
              <w:jc w:val="center"/>
              <w:rPr>
                <w:color w:val="000000" w:themeColor="text1"/>
                <w:sz w:val="18"/>
                <w:szCs w:val="18"/>
                <w:shd w:val="clear" w:color="auto" w:fill="FFFFFF"/>
                <w14:textFill>
                  <w14:solidFill>
                    <w14:schemeClr w14:val="tx1"/>
                  </w14:solidFill>
                </w14:textFill>
              </w:rPr>
            </w:pPr>
          </w:p>
        </w:tc>
      </w:tr>
      <w:tr w14:paraId="7002583B">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B61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28</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F67B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B832F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05F1E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A5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61CA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BE1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DE8D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3FCFA">
            <w:pPr>
              <w:spacing w:line="360" w:lineRule="auto"/>
              <w:jc w:val="center"/>
              <w:rPr>
                <w:color w:val="000000" w:themeColor="text1"/>
                <w:sz w:val="18"/>
                <w:szCs w:val="18"/>
                <w:shd w:val="clear" w:color="auto" w:fill="FFFFFF"/>
                <w14:textFill>
                  <w14:solidFill>
                    <w14:schemeClr w14:val="tx1"/>
                  </w14:solidFill>
                </w14:textFill>
              </w:rPr>
            </w:pPr>
          </w:p>
        </w:tc>
      </w:tr>
      <w:tr w14:paraId="3293DAEA">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BFA8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29</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941C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9E6E1">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A6DC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9787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C90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B861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B43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2DE7E">
            <w:pPr>
              <w:spacing w:line="360" w:lineRule="auto"/>
              <w:jc w:val="center"/>
              <w:rPr>
                <w:color w:val="000000" w:themeColor="text1"/>
                <w:sz w:val="18"/>
                <w:szCs w:val="18"/>
                <w:shd w:val="clear" w:color="auto" w:fill="FFFFFF"/>
                <w14:textFill>
                  <w14:solidFill>
                    <w14:schemeClr w14:val="tx1"/>
                  </w14:solidFill>
                </w14:textFill>
              </w:rPr>
            </w:pPr>
          </w:p>
        </w:tc>
      </w:tr>
      <w:tr w14:paraId="70E452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B38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71B9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网线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D8418">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不低于六类</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ABA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9ECE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92A4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44F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CADA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46BB7">
            <w:pPr>
              <w:spacing w:line="360" w:lineRule="auto"/>
              <w:jc w:val="center"/>
              <w:rPr>
                <w:color w:val="000000" w:themeColor="text1"/>
                <w:sz w:val="18"/>
                <w:szCs w:val="18"/>
                <w:shd w:val="clear" w:color="auto" w:fill="FFFFFF"/>
                <w14:textFill>
                  <w14:solidFill>
                    <w14:schemeClr w14:val="tx1"/>
                  </w14:solidFill>
                </w14:textFill>
              </w:rPr>
            </w:pPr>
          </w:p>
        </w:tc>
      </w:tr>
      <w:tr w14:paraId="65968D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588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31</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4626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单次软件调试服务费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AEF5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5E47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ED51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C13F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C48C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78EC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39324">
            <w:pPr>
              <w:spacing w:line="360" w:lineRule="auto"/>
              <w:jc w:val="center"/>
              <w:rPr>
                <w:color w:val="000000" w:themeColor="text1"/>
                <w:sz w:val="18"/>
                <w:szCs w:val="18"/>
                <w:shd w:val="clear" w:color="auto" w:fill="FFFFFF"/>
                <w14:textFill>
                  <w14:solidFill>
                    <w14:schemeClr w14:val="tx1"/>
                  </w14:solidFill>
                </w14:textFill>
              </w:rPr>
            </w:pPr>
          </w:p>
        </w:tc>
      </w:tr>
      <w:tr w14:paraId="5B08E2C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BC4E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32</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9E6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单次硬件维修服务费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884F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93C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B145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2F29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8851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4FE5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72B2B">
            <w:pPr>
              <w:spacing w:line="360" w:lineRule="auto"/>
              <w:jc w:val="center"/>
              <w:rPr>
                <w:color w:val="000000" w:themeColor="text1"/>
                <w:sz w:val="18"/>
                <w:szCs w:val="18"/>
                <w:shd w:val="clear" w:color="auto" w:fill="FFFFFF"/>
                <w14:textFill>
                  <w14:solidFill>
                    <w14:schemeClr w14:val="tx1"/>
                  </w14:solidFill>
                </w14:textFill>
              </w:rPr>
            </w:pPr>
          </w:p>
        </w:tc>
      </w:tr>
      <w:tr w14:paraId="66480748">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F1488E6">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质保期（年）</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D360070">
            <w:pPr>
              <w:spacing w:line="360" w:lineRule="auto"/>
              <w:jc w:val="center"/>
              <w:rPr>
                <w:color w:val="000000" w:themeColor="text1"/>
                <w:sz w:val="18"/>
                <w:szCs w:val="18"/>
                <w:shd w:val="clear" w:color="auto" w:fill="FFFFFF"/>
                <w14:textFill>
                  <w14:solidFill>
                    <w14:schemeClr w14:val="tx1"/>
                  </w14:solidFill>
                </w14:textFill>
              </w:rPr>
            </w:pPr>
          </w:p>
        </w:tc>
      </w:tr>
      <w:tr w14:paraId="75CE5752">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1529918">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总价（元）</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2F5CCD8">
            <w:pPr>
              <w:spacing w:line="360" w:lineRule="auto"/>
              <w:jc w:val="center"/>
              <w:rPr>
                <w:color w:val="000000" w:themeColor="text1"/>
                <w:sz w:val="18"/>
                <w:szCs w:val="18"/>
                <w:shd w:val="clear" w:color="auto" w:fill="FFFFFF"/>
                <w14:textFill>
                  <w14:solidFill>
                    <w14:schemeClr w14:val="tx1"/>
                  </w14:solidFill>
                </w14:textFill>
              </w:rPr>
            </w:pPr>
          </w:p>
        </w:tc>
      </w:tr>
    </w:tbl>
    <w:p w14:paraId="4DE8F9B3">
      <w:pPr>
        <w:spacing w:line="360" w:lineRule="auto"/>
        <w:rPr>
          <w:rFonts w:hint="eastAsia" w:ascii="宋体" w:hAnsi="宋体"/>
          <w:color w:val="000000" w:themeColor="text1"/>
          <w:sz w:val="28"/>
          <w:szCs w:val="28"/>
          <w14:textFill>
            <w14:solidFill>
              <w14:schemeClr w14:val="tx1"/>
            </w14:solidFill>
          </w14:textFill>
        </w:rPr>
      </w:pPr>
    </w:p>
    <w:p w14:paraId="3BCE0BFB">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color w:val="000000" w:themeColor="text1"/>
          <w:sz w:val="28"/>
          <w:szCs w:val="28"/>
          <w:lang w:val="en-US" w:eastAsia="zh-CN"/>
          <w14:textFill>
            <w14:solidFill>
              <w14:schemeClr w14:val="tx1"/>
            </w14:solidFill>
          </w14:textFill>
        </w:rPr>
        <w:t>（1）参选为包干价，包含但不限于货款、税费、运输费、保险费、安装费、调试费等各项费用</w:t>
      </w:r>
    </w:p>
    <w:p w14:paraId="680410D6">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（2）参选供应商需补充报价表接收卡、LED变压器、LED控制卡、发送卡、同步卡、异步卡、排线等配件和耗材的品牌型号信息。</w:t>
      </w:r>
    </w:p>
    <w:p w14:paraId="2DC26281">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35A3FD63">
      <w:pPr>
        <w:rPr>
          <w:rFonts w:hint="eastAsia"/>
          <w:color w:val="000000" w:themeColor="text1"/>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D62494-4614-43C0-8E17-8F76BB2458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89D42328-5364-4BE1-B7F1-17AF656F97E7}"/>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3F4A72EA-0FA2-4D28-9069-CFEF1494C1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8F1F21"/>
    <w:rsid w:val="5B1E275D"/>
    <w:rsid w:val="5B3E21DC"/>
    <w:rsid w:val="5B4A5024"/>
    <w:rsid w:val="5B895001"/>
    <w:rsid w:val="5BBD57F6"/>
    <w:rsid w:val="5BC414F3"/>
    <w:rsid w:val="5C953453"/>
    <w:rsid w:val="5CAE15E3"/>
    <w:rsid w:val="5CB84A88"/>
    <w:rsid w:val="5CD86660"/>
    <w:rsid w:val="5D290C69"/>
    <w:rsid w:val="5D720862"/>
    <w:rsid w:val="5DEE479F"/>
    <w:rsid w:val="5E254884"/>
    <w:rsid w:val="5E36741C"/>
    <w:rsid w:val="5F242C3A"/>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9148</Words>
  <Characters>9544</Characters>
  <Lines>182</Lines>
  <Paragraphs>51</Paragraphs>
  <TotalTime>8</TotalTime>
  <ScaleCrop>false</ScaleCrop>
  <LinksUpToDate>false</LinksUpToDate>
  <CharactersWithSpaces>9615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2026-08-06T02:29:09Z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