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FF00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FF0000"/>
          <w:sz w:val="24"/>
          <w:szCs w:val="24"/>
          <w:lang w:val="en-US" w:eastAsia="zh-CN"/>
        </w:rPr>
        <w:t>120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全钢通风橱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全钢通风橱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0.45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万元/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总预算为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0.9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全钢通风橱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FF0000"/>
          <w:kern w:val="0"/>
          <w:sz w:val="24"/>
          <w:szCs w:val="24"/>
          <w:lang w:val="en-US" w:eastAsia="zh-CN"/>
        </w:rPr>
        <w:t>全钢通风橱</w:t>
      </w:r>
      <w:r>
        <w:rPr>
          <w:rFonts w:hint="eastAsia" w:ascii="仿宋" w:hAnsi="仿宋" w:eastAsia="仿宋" w:cs="仿宋"/>
          <w:b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2046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34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2046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34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2046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全钢通风橱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设备功能及技术需求</w:t>
      </w:r>
    </w:p>
    <w:p w14:paraId="31FA936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1.功能用途：用于化学合成实验的安全防护与有害气体排风，可将多肽合成仪、DNA 合成仪、旋转蒸发仪等涉及有机溶剂挥发的仪器设备置于橱内操作，及时排出挥发性气体与实验废气，提供密闭、安全的实验操作空间。可有效降低实验安全隐患，保障科研人员身体健康，满足实验室安全规范要求，为生物医药、分子合成领域的科研实验提供必备的安全支撑；同时可用于实验教学，为学生提供规范安全的实训环境，强化学生的实验安全操作意识与能力。</w:t>
      </w:r>
    </w:p>
    <w:p w14:paraId="276C8026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2.具体技术需求</w:t>
      </w:r>
    </w:p>
    <w:p w14:paraId="286D2EE9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（1）具备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一定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 xml:space="preserve">操作空间，可有效隔离实验过程中产生的挥发性有害气体、气溶胶，防止其扩散至实验室环境，保障操作人员安全； </w:t>
      </w:r>
    </w:p>
    <w:p w14:paraId="4C531395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 xml:space="preserve">（2）具备稳定的排风系统，可高效排出橱内有害气体，维持橱内负压环境，避免有害气体泄漏，排风效率可满足常规化学合成实验的废气处理需求； </w:t>
      </w:r>
    </w:p>
    <w:p w14:paraId="7D6CB5FD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 xml:space="preserve">（3）柜体采用全钢材质，具备耐腐蚀、防火、防爆性能，可适配常规有机溶剂、酸碱试剂的使用环境，使用寿命长，维护成本低； </w:t>
      </w:r>
    </w:p>
    <w:p w14:paraId="3C64C0B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 xml:space="preserve">（4）操作台面具备良好的耐酸碱、耐腐蚀性能，易清洁消毒，可适配实验过程中的常规操作与清洁需求； </w:t>
      </w:r>
    </w:p>
    <w:p w14:paraId="440E3DE8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 xml:space="preserve">（5）具备透明观察窗，可清晰观察橱内实验操作情况，同时具备良好的密闭性，不影响排风效果； </w:t>
      </w:r>
    </w:p>
    <w:p w14:paraId="57E26FB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（6）可配套安装涉溶剂类实验仪器，为多肽合成仪、DNA 合成仪、旋转蒸发仪等设备提供安全的放置与操作环境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；</w:t>
      </w:r>
    </w:p>
    <w:p w14:paraId="1B080611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通风柜尺寸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1800×850×2350mm，占地1.5平方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；</w:t>
      </w:r>
    </w:p>
    <w:p w14:paraId="29104FE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整体重量200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kg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以内 ；</w:t>
      </w:r>
    </w:p>
    <w:p w14:paraId="03BD5814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台面材质：12.7mm实心理化板；</w:t>
      </w:r>
    </w:p>
    <w:p w14:paraId="252D9D89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）移门上下开启高度：600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-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700mm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；</w:t>
      </w:r>
    </w:p>
    <w:p w14:paraId="1731AE54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）工作面风速：0.5M/S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；</w:t>
      </w:r>
    </w:p>
    <w:p w14:paraId="44364734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12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） 排风阻力：小于70Pa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；</w:t>
      </w:r>
    </w:p>
    <w:p w14:paraId="037EE05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13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）工作时噪声小于55dB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；</w:t>
      </w:r>
    </w:p>
    <w:p w14:paraId="1BC220E7">
      <w:pPr>
        <w:pStyle w:val="18"/>
        <w:spacing w:line="460" w:lineRule="exact"/>
        <w:ind w:firstLine="0" w:firstLineChars="0"/>
        <w:jc w:val="left"/>
        <w:rPr>
          <w:rFonts w:hint="default" w:ascii="仿宋" w:hAnsi="仿宋" w:eastAsia="仿宋" w:cs="仿宋"/>
          <w:color w:val="FF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14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）照度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大于1200LUX。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sz w:val="24"/>
          <w:szCs w:val="24"/>
        </w:rPr>
        <w:t>求</w:t>
      </w:r>
    </w:p>
    <w:p w14:paraId="3BC424F8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1.设备整机质保期：≥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年。</w:t>
      </w:r>
    </w:p>
    <w:p w14:paraId="044BCCA8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 xml:space="preserve">2.质保期内，出现不可修复的质量问题需无条件更换全新机器，修复期超过五天时需提供备用机。质保期内，设备厂家每年至少提供维护保养服务1次。 </w:t>
      </w:r>
    </w:p>
    <w:p w14:paraId="3F42F13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3.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质保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期内不得随意变更配送单位。</w:t>
      </w:r>
    </w:p>
    <w:p w14:paraId="26C880B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4.若有配套易损件需进行报价，作为质保期后购买价格参考。</w:t>
      </w:r>
    </w:p>
    <w:p w14:paraId="7FC0474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5.设备到货期：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议价完成后</w:t>
      </w:r>
      <w:bookmarkStart w:id="0" w:name="_GoBack"/>
      <w:bookmarkEnd w:id="0"/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30天内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。</w:t>
      </w:r>
    </w:p>
    <w:p w14:paraId="606D371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B58051D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3A336C6">
      <w:pPr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br w:type="page"/>
      </w:r>
    </w:p>
    <w:p w14:paraId="54DE313A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DA4354C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650C8"/>
    <w:rsid w:val="167928B7"/>
    <w:rsid w:val="16F2564D"/>
    <w:rsid w:val="171C0087"/>
    <w:rsid w:val="17312619"/>
    <w:rsid w:val="191775ED"/>
    <w:rsid w:val="1A3A71B0"/>
    <w:rsid w:val="1A904476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0F01D13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9E462E5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97C2214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1979</Words>
  <Characters>2113</Characters>
  <Lines>12</Lines>
  <Paragraphs>3</Paragraphs>
  <TotalTime>5</TotalTime>
  <ScaleCrop>false</ScaleCrop>
  <LinksUpToDate>false</LinksUpToDate>
  <CharactersWithSpaces>2319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2026-08-06T03:49:25Z</cp:lastPrinted>
  <dcterms:modified xsi:type="dcterms:W3CDTF">2026-08-06T03:49:32Z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