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2026FW072</w:t>
      </w:r>
    </w:p>
    <w:p w14:paraId="2561F49F">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兴龙湖院区供水系统改造</w:t>
      </w:r>
    </w:p>
    <w:p w14:paraId="43A24339">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kern w:val="2"/>
          <w:sz w:val="44"/>
          <w:szCs w:val="44"/>
          <w:lang w:val="en-US" w:eastAsia="zh-CN" w:bidi="ar-SA"/>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sz w:val="44"/>
              <w:szCs w:val="44"/>
            </w:rPr>
          </w:pPr>
          <w:r>
            <w:rPr>
              <w:rFonts w:ascii="宋体" w:hAnsi="宋体" w:eastAsia="宋体"/>
              <w:sz w:val="44"/>
              <w:szCs w:val="44"/>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_Toc23588 </w:instrText>
          </w:r>
          <w:r>
            <w:rPr>
              <w:rFonts w:hint="eastAsia" w:ascii="宋体" w:hAnsi="宋体" w:eastAsia="宋体" w:cs="宋体"/>
              <w:szCs w:val="28"/>
              <w:shd w:val="clear" w:color="auto" w:fill="auto"/>
            </w:rPr>
            <w:fldChar w:fldCharType="separate"/>
          </w:r>
          <w:r>
            <w:rPr>
              <w:rFonts w:hint="eastAsia" w:ascii="宋体" w:hAnsi="宋体" w:eastAsia="宋体" w:cs="宋体"/>
              <w:bCs/>
              <w:szCs w:val="36"/>
              <w:shd w:val="clear" w:color="auto" w:fill="auto"/>
            </w:rPr>
            <w:t>第一篇  比选邀请书</w:t>
          </w:r>
          <w:r>
            <w:tab/>
          </w:r>
          <w:r>
            <w:fldChar w:fldCharType="begin"/>
          </w:r>
          <w:r>
            <w:instrText xml:space="preserve"> PAGEREF _Toc23588 \h </w:instrText>
          </w:r>
          <w:r>
            <w:fldChar w:fldCharType="separate"/>
          </w:r>
          <w:r>
            <w:t>2</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_Toc25322 </w:instrText>
          </w:r>
          <w:r>
            <w:rPr>
              <w:rFonts w:hint="eastAsia" w:ascii="宋体" w:hAnsi="宋体" w:eastAsia="宋体" w:cs="宋体"/>
              <w:szCs w:val="28"/>
              <w:shd w:val="clear" w:color="auto" w:fill="auto"/>
            </w:rPr>
            <w:fldChar w:fldCharType="separate"/>
          </w:r>
          <w:r>
            <w:rPr>
              <w:rFonts w:hint="eastAsia" w:ascii="宋体" w:hAnsi="宋体" w:eastAsia="宋体" w:cs="宋体"/>
              <w:bCs/>
              <w:szCs w:val="36"/>
              <w:shd w:val="clear" w:color="auto" w:fill="auto"/>
            </w:rPr>
            <w:t>第二篇 供应商须知</w:t>
          </w:r>
          <w:r>
            <w:tab/>
          </w:r>
          <w:r>
            <w:fldChar w:fldCharType="begin"/>
          </w:r>
          <w:r>
            <w:instrText xml:space="preserve"> PAGEREF _Toc25322 \h </w:instrText>
          </w:r>
          <w:r>
            <w:fldChar w:fldCharType="separate"/>
          </w:r>
          <w:r>
            <w:t>5</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_Toc7206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第三篇  项目服务需求</w:t>
          </w:r>
          <w:r>
            <w:tab/>
          </w:r>
          <w:r>
            <w:fldChar w:fldCharType="begin"/>
          </w:r>
          <w:r>
            <w:instrText xml:space="preserve"> PAGEREF _Toc7206 \h </w:instrText>
          </w:r>
          <w:r>
            <w:fldChar w:fldCharType="separate"/>
          </w:r>
          <w:r>
            <w:t>13</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_Toc17014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第四篇  项目商务需求</w:t>
          </w:r>
          <w:r>
            <w:tab/>
          </w:r>
          <w:r>
            <w:fldChar w:fldCharType="begin"/>
          </w:r>
          <w:r>
            <w:instrText xml:space="preserve"> PAGEREF _Toc17014 \h </w:instrText>
          </w:r>
          <w:r>
            <w:fldChar w:fldCharType="separate"/>
          </w:r>
          <w:r>
            <w:t>14</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_Toc26989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第五篇  合同草案条款</w:t>
          </w:r>
          <w:r>
            <w:tab/>
          </w:r>
          <w:r>
            <w:fldChar w:fldCharType="begin"/>
          </w:r>
          <w:r>
            <w:instrText xml:space="preserve"> PAGEREF _Toc26989 \h </w:instrText>
          </w:r>
          <w:r>
            <w:fldChar w:fldCharType="separate"/>
          </w:r>
          <w:r>
            <w:t>15</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_Toc14085 </w:instrText>
          </w:r>
          <w:r>
            <w:rPr>
              <w:rFonts w:hint="eastAsia" w:ascii="宋体" w:hAnsi="宋体" w:eastAsia="宋体" w:cs="宋体"/>
              <w:szCs w:val="28"/>
              <w:shd w:val="clear" w:color="auto" w:fill="auto"/>
            </w:rPr>
            <w:fldChar w:fldCharType="separate"/>
          </w:r>
          <w:r>
            <w:rPr>
              <w:rFonts w:hint="eastAsia" w:ascii="宋体" w:hAnsi="宋体" w:eastAsia="宋体" w:cs="宋体"/>
              <w:szCs w:val="36"/>
              <w:shd w:val="clear" w:color="auto" w:fill="auto"/>
            </w:rPr>
            <w:t>第六篇  响应文件格式要求</w:t>
          </w:r>
          <w:r>
            <w:tab/>
          </w:r>
          <w:r>
            <w:fldChar w:fldCharType="begin"/>
          </w:r>
          <w:r>
            <w:instrText xml:space="preserve"> PAGEREF _Toc14085 \h </w:instrText>
          </w:r>
          <w:r>
            <w:fldChar w:fldCharType="separate"/>
          </w:r>
          <w:r>
            <w:t>17</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_Toc5685 </w:instrText>
          </w:r>
          <w:r>
            <w:rPr>
              <w:rFonts w:hint="eastAsia" w:ascii="宋体" w:hAnsi="宋体" w:eastAsia="宋体" w:cs="宋体"/>
              <w:szCs w:val="28"/>
              <w:shd w:val="clear" w:color="auto" w:fill="auto"/>
            </w:rPr>
            <w:fldChar w:fldCharType="separate"/>
          </w:r>
          <w:r>
            <w:rPr>
              <w:rFonts w:hint="eastAsia" w:ascii="宋体" w:hAnsi="宋体" w:cs="宋体"/>
              <w:szCs w:val="24"/>
              <w:shd w:val="clear" w:color="auto" w:fill="auto"/>
              <w:lang w:eastAsia="zh-CN"/>
            </w:rPr>
            <w:t>（一）</w:t>
          </w:r>
          <w:r>
            <w:rPr>
              <w:rFonts w:hint="eastAsia" w:ascii="宋体" w:hAnsi="宋体" w:eastAsia="宋体" w:cs="宋体"/>
              <w:szCs w:val="24"/>
              <w:shd w:val="clear" w:color="auto" w:fill="auto"/>
            </w:rPr>
            <w:t>其他应提供的资料</w:t>
          </w:r>
          <w:r>
            <w:tab/>
          </w:r>
          <w:r>
            <w:fldChar w:fldCharType="begin"/>
          </w:r>
          <w:r>
            <w:instrText xml:space="preserve"> PAGEREF _Toc5685 \h </w:instrText>
          </w:r>
          <w:r>
            <w:fldChar w:fldCharType="separate"/>
          </w:r>
          <w:r>
            <w:t>18</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_Toc12908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（二）</w:t>
          </w:r>
          <w:r>
            <w:rPr>
              <w:rFonts w:hint="eastAsia" w:ascii="宋体" w:hAnsi="宋体" w:eastAsia="宋体" w:cs="宋体"/>
              <w:shd w:val="clear" w:color="auto" w:fill="auto"/>
            </w:rPr>
            <w:t>服务部分</w:t>
          </w:r>
          <w:r>
            <w:tab/>
          </w:r>
          <w:r>
            <w:fldChar w:fldCharType="begin"/>
          </w:r>
          <w:r>
            <w:instrText xml:space="preserve"> PAGEREF _Toc12908 \h </w:instrText>
          </w:r>
          <w:r>
            <w:fldChar w:fldCharType="separate"/>
          </w:r>
          <w:r>
            <w:t>21</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_Toc15203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（三）</w:t>
          </w:r>
          <w:r>
            <w:rPr>
              <w:rFonts w:hint="eastAsia" w:ascii="宋体" w:hAnsi="宋体" w:eastAsia="宋体" w:cs="宋体"/>
              <w:shd w:val="clear" w:color="auto" w:fill="auto"/>
            </w:rPr>
            <w:t>商务部分</w:t>
          </w:r>
          <w:r>
            <w:tab/>
          </w:r>
          <w:r>
            <w:fldChar w:fldCharType="begin"/>
          </w:r>
          <w:r>
            <w:instrText xml:space="preserve"> PAGEREF _Toc15203 \h </w:instrText>
          </w:r>
          <w:r>
            <w:fldChar w:fldCharType="separate"/>
          </w:r>
          <w:r>
            <w:t>23</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szCs w:val="28"/>
              <w:shd w:val="clear" w:color="auto" w:fill="auto"/>
            </w:rPr>
            <w:instrText xml:space="preserve"> HYPERLINK \l _Toc9941 </w:instrText>
          </w:r>
          <w:r>
            <w:rPr>
              <w:rFonts w:hint="eastAsia" w:ascii="宋体" w:hAnsi="宋体" w:eastAsia="宋体" w:cs="宋体"/>
              <w:szCs w:val="28"/>
              <w:shd w:val="clear" w:color="auto" w:fill="auto"/>
            </w:rPr>
            <w:fldChar w:fldCharType="separate"/>
          </w:r>
          <w:r>
            <w:rPr>
              <w:rFonts w:hint="eastAsia" w:ascii="宋体" w:hAnsi="宋体" w:cs="宋体"/>
              <w:shd w:val="clear" w:color="auto" w:fill="auto"/>
              <w:lang w:eastAsia="zh-CN"/>
            </w:rPr>
            <w:t>（四）</w:t>
          </w:r>
          <w:r>
            <w:rPr>
              <w:rFonts w:hint="eastAsia" w:ascii="宋体" w:hAnsi="宋体" w:eastAsia="宋体" w:cs="宋体"/>
              <w:shd w:val="clear" w:color="auto" w:fill="auto"/>
            </w:rPr>
            <w:t>资格条件及其他</w:t>
          </w:r>
          <w:r>
            <w:tab/>
          </w:r>
          <w:r>
            <w:fldChar w:fldCharType="begin"/>
          </w:r>
          <w:r>
            <w:instrText xml:space="preserve"> PAGEREF _Toc9941 \h </w:instrText>
          </w:r>
          <w:r>
            <w:fldChar w:fldCharType="separate"/>
          </w:r>
          <w:r>
            <w:t>26</w:t>
          </w:r>
          <w: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3"/>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2789052"/>
      <w:bookmarkStart w:id="1" w:name="_Toc11641050"/>
      <w:bookmarkStart w:id="2" w:name="_Toc23588"/>
      <w:bookmarkStart w:id="3" w:name="_Toc485108766"/>
      <w:bookmarkStart w:id="4" w:name="_Toc25875"/>
      <w:bookmarkStart w:id="5" w:name="_Toc6921"/>
      <w:r>
        <w:rPr>
          <w:rFonts w:hint="eastAsia" w:ascii="宋体" w:hAnsi="宋体" w:eastAsia="宋体" w:cs="宋体"/>
          <w:b/>
          <w:bCs/>
          <w:color w:val="000000" w:themeColor="text1"/>
          <w:sz w:val="36"/>
          <w:szCs w:val="36"/>
          <w:shd w:val="clear" w:color="auto" w:fill="auto"/>
          <w14:textFill>
            <w14:solidFill>
              <w14:schemeClr w14:val="tx1"/>
            </w14:solidFill>
          </w14:textFill>
        </w:rPr>
        <w:t xml:space="preserve">第一篇  </w:t>
      </w:r>
      <w:bookmarkStart w:id="189" w:name="_GoBack"/>
      <w:r>
        <w:rPr>
          <w:rFonts w:hint="eastAsia" w:ascii="宋体" w:hAnsi="宋体" w:eastAsia="宋体" w:cs="宋体"/>
          <w:b/>
          <w:bCs/>
          <w:color w:val="000000" w:themeColor="text1"/>
          <w:sz w:val="36"/>
          <w:szCs w:val="36"/>
          <w:shd w:val="clear" w:color="auto" w:fill="auto"/>
          <w14:textFill>
            <w14:solidFill>
              <w14:schemeClr w14:val="tx1"/>
            </w14:solidFill>
          </w14:textFill>
        </w:rPr>
        <w:t>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重医附属永川医院兴龙湖院区供水系统改造</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317775175"/>
      <w:bookmarkStart w:id="9" w:name="_Toc485108767"/>
      <w:bookmarkStart w:id="10" w:name="_Toc28443"/>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03E3C6B">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重医附属永川医院兴龙湖院区供水系统改造</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：自筹资金,项目预算：10.46万元。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031E0D82">
      <w:pPr>
        <w:spacing w:line="48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lang w:val="en-US" w:eastAsia="zh-CN"/>
        </w:rPr>
        <w:t>具备有效的三证合一营业执照，具备建筑机电安装工程三级或以上资质，具备有效的安全生产许可证。</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12</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重庆市永川区</w:t>
      </w:r>
      <w:r>
        <w:rPr>
          <w:rFonts w:hint="eastAsia" w:ascii="宋体" w:hAnsi="宋体" w:eastAsia="宋体" w:cs="宋体"/>
          <w:b/>
          <w:bCs/>
          <w:color w:val="000000" w:themeColor="text1"/>
          <w:sz w:val="24"/>
          <w:szCs w:val="24"/>
          <w:u w:val="single"/>
          <w:shd w:val="clear" w:color="auto" w:fill="auto"/>
          <w:lang w:val="en-US" w:eastAsia="zh-CN"/>
          <w14:textFill>
            <w14:solidFill>
              <w14:schemeClr w14:val="tx1"/>
            </w14:solidFill>
          </w14:textFill>
        </w:rPr>
        <w:t>人民大道859号全科楼21楼采购</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老师:023-853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采购办公室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、按时递交了响应文件（重庆医科大学附属永川医院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全科楼21</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楼会议室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全科楼21</w:t>
      </w:r>
      <w:r>
        <w:rPr>
          <w:rFonts w:hint="eastAsia" w:ascii="宋体" w:hAnsi="宋体" w:eastAsia="宋体" w:cs="宋体"/>
          <w:color w:val="000000" w:themeColor="text1"/>
          <w:sz w:val="24"/>
          <w:szCs w:val="24"/>
          <w:shd w:val="clear" w:color="auto" w:fill="auto"/>
          <w14:textFill>
            <w14:solidFill>
              <w14:schemeClr w14:val="tx1"/>
            </w14:solidFill>
          </w14:textFill>
        </w:rPr>
        <w:t>楼会议室（地址：</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重庆市永川区</w:t>
      </w:r>
      <w:r>
        <w:rPr>
          <w:rFonts w:hint="eastAsia" w:ascii="宋体" w:hAnsi="宋体" w:eastAsia="宋体" w:cs="宋体"/>
          <w:b/>
          <w:bCs/>
          <w:color w:val="000000" w:themeColor="text1"/>
          <w:sz w:val="24"/>
          <w:szCs w:val="24"/>
          <w:u w:val="single"/>
          <w:shd w:val="clear" w:color="auto" w:fill="auto"/>
          <w:lang w:val="en-US" w:eastAsia="zh-CN"/>
          <w14:textFill>
            <w14:solidFill>
              <w14:schemeClr w14:val="tx1"/>
            </w14:solidFill>
          </w14:textFill>
        </w:rPr>
        <w:t>人民大道859号</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4"/>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718176"/>
      <w:bookmarkStart w:id="25" w:name="_Toc54171062"/>
    </w:p>
    <w:bookmarkEnd w:id="23"/>
    <w:bookmarkEnd w:id="24"/>
    <w:bookmarkEnd w:id="25"/>
    <w:p w14:paraId="1FD6A981">
      <w:pPr>
        <w:pStyle w:val="4"/>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4"/>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 重庆市永川区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人民大道859号</w:t>
      </w:r>
      <w:bookmarkEnd w:id="189"/>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3"/>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4"/>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4"/>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536191DE">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本项目为总价包干，报价包含设备、材料、运输、装卸、二次搬运、安装、调试、人工、辅材、税费、现场清理、质保服务等全部费用，采购人不再额外支付任何费用。</w:t>
      </w:r>
    </w:p>
    <w:p w14:paraId="36D667A8">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default" w:ascii="宋体" w:hAnsi="宋体" w:eastAsia="宋体" w:cs="宋体"/>
          <w:color w:val="FF0000"/>
          <w:sz w:val="24"/>
          <w:szCs w:val="24"/>
          <w:shd w:val="clear" w:color="auto" w:fill="auto"/>
          <w:lang w:val="en-US" w:eastAsia="zh-CN"/>
        </w:rPr>
        <w:t>供应商须按照（附件）报价表逐项填报，列明材料、设备名称、规格型号、数量、单价、合价、总价等内容，缺项、漏项视为包含在总报价内</w:t>
      </w:r>
      <w:r>
        <w:rPr>
          <w:rFonts w:hint="eastAsia" w:ascii="宋体" w:hAnsi="宋体" w:eastAsia="宋体" w:cs="宋体"/>
          <w:color w:val="FF0000"/>
          <w:sz w:val="24"/>
          <w:szCs w:val="24"/>
          <w:shd w:val="clear" w:color="auto" w:fill="auto"/>
          <w:lang w:val="en-US" w:eastAsia="zh-CN"/>
        </w:rPr>
        <w:t>。</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恶意低价、明显低于市场成本价的报价作无效报价处理</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3"/>
      <w:bookmarkStart w:id="38" w:name="OLE_LINK9"/>
      <w:bookmarkStart w:id="39"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342913393"/>
      <w:bookmarkStart w:id="41" w:name="_Toc18122"/>
      <w:bookmarkStart w:id="42" w:name="_Toc102227319"/>
      <w:bookmarkStart w:id="43" w:name="_Toc403569780"/>
      <w:bookmarkStart w:id="44" w:name="_Toc179714298"/>
      <w:bookmarkStart w:id="45" w:name="_Toc19143"/>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28776"/>
      <w:bookmarkStart w:id="47" w:name="_Toc403569781"/>
      <w:bookmarkStart w:id="48" w:name="_Toc14247"/>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403569782"/>
      <w:bookmarkStart w:id="52" w:name="_Toc14816"/>
      <w:bookmarkStart w:id="53" w:name="_Toc29340"/>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342913395"/>
      <w:bookmarkStart w:id="55" w:name="_Toc7135"/>
      <w:bookmarkStart w:id="56" w:name="_Toc102227321"/>
      <w:bookmarkStart w:id="57" w:name="_Toc3212"/>
      <w:bookmarkStart w:id="58" w:name="_Toc403569783"/>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2880"/>
      <w:bookmarkStart w:id="60" w:name="_Toc17413"/>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403569785"/>
      <w:bookmarkStart w:id="64" w:name="_Toc342913396"/>
      <w:bookmarkStart w:id="65"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485108784"/>
      <w:bookmarkStart w:id="68" w:name="_Toc11770"/>
    </w:p>
    <w:p w14:paraId="0DB0EA24">
      <w:pPr>
        <w:pStyle w:val="3"/>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485108787"/>
      <w:bookmarkStart w:id="72" w:name="_Toc28327"/>
      <w:bookmarkStart w:id="73" w:name="_Toc12789058"/>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252E05F9">
      <w:p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项目概况：兴龙湖院区门诊病房综合楼位于兴龙大道D-1地块，地上19层、地下2层，框架剪力墙结构，该楼栋采用分区供水模式，低区由市政直接供水（2层及以下），中区、高区依托负三层容积为280立方米的储水箱实现应急供水；兴龙湖院区全科楼位于兴龙大道D-1地块，地上24层、地下2层，框架剪力墙结构，该楼栋整体采用直供水加压模式，未设置应急储水设施。为保障市政管网停水状态下门诊病房综合楼低区及全科楼整体的用水需求，提升供水可靠性，拟对供水系统进行改造。</w:t>
      </w:r>
    </w:p>
    <w:p w14:paraId="786EA4E9">
      <w:p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2.采购范围：</w:t>
      </w:r>
    </w:p>
    <w:p w14:paraId="7BD0B661">
      <w:p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①本次改造包括门诊病房综合楼低区供水系统、全科楼供水系统两个部分；</w:t>
      </w:r>
    </w:p>
    <w:p w14:paraId="0211B493">
      <w:p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②门诊病房综合楼低区：不改变原有供水模式，依托现有 280 立方米储水箱，新增专用供水管道、变频水泵、泄压阀、控制阀门及配套管件等，实现市政停水时由储水箱向低区环网进行补水，保障连续供水（具体实施方案在满足使用功能的前提下，由中标供应商进行深化，报采购人复核后实施）；</w:t>
      </w:r>
    </w:p>
    <w:p w14:paraId="009BFD78">
      <w:pPr>
        <w:snapToGrid w:val="0"/>
        <w:spacing w:line="400" w:lineRule="exact"/>
        <w:ind w:firstLine="480" w:firstLineChars="200"/>
        <w:jc w:val="left"/>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③全科楼区域：不改变原有供水模式，在负二层增设不锈钢储水箱（参考规格 3000mm*5000mm*2500mm，可结合现场实际情况调整），配套安装加压水泵、自动补水阀、各类管路阀件等，实现市政停水时可正常用水。水箱区域设置不锈钢围栏（预留检修通道）实施封闭管控（具体实施方案在满足使用功能前提下，由中标供应商进行深化，报采购人复核后实施）。</w:t>
      </w:r>
    </w:p>
    <w:p w14:paraId="28AD562F">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3.质量要求：</w:t>
      </w:r>
    </w:p>
    <w:p w14:paraId="146C851C">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符合强制性质量标准，符合国家和重庆市现行有关施工质量验收规范要求，并达到合格标准。非因采购人原因导致的质量缺陷，成交供应商应整改至合格标准，整改工作所需一切费用、时间和责任均由成交供应商自行承担，采购人不承担任何直接或间接责任。（供应商须自拟承诺）；</w:t>
      </w:r>
    </w:p>
    <w:p w14:paraId="457E9EBF">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②施工过程中应遵照现行国家有关规程规范进行施工，按照有关要求进行检查验收。成交供应商提供的所有施工设施设备和材料应有完善的质量检测手段和质量保证体系，必须符合国家标准和行业标准；</w:t>
      </w:r>
    </w:p>
    <w:p w14:paraId="0ACC1D63">
      <w:pPr>
        <w:numPr>
          <w:ilvl w:val="0"/>
          <w:numId w:val="0"/>
        </w:numPr>
        <w:snapToGrid w:val="0"/>
        <w:spacing w:line="400" w:lineRule="exact"/>
        <w:ind w:firstLine="480" w:firstLineChars="200"/>
        <w:jc w:val="left"/>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③施工前需与院方现场对接，测量水渠、管路、设备安装尺寸，严格按照现场工况施工。</w:t>
      </w:r>
    </w:p>
    <w:p w14:paraId="0D0C99F0">
      <w:pPr>
        <w:numPr>
          <w:ilvl w:val="0"/>
          <w:numId w:val="13"/>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材料要求：</w:t>
      </w:r>
    </w:p>
    <w:p w14:paraId="29D41ACC">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①工程所用材料（设备）必须符合国家规范标准及设计文件、采购文件等要求。进场前须报采购人验收合格后方能投入使用；</w:t>
      </w:r>
    </w:p>
    <w:p w14:paraId="66018567">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②所供设备和材料必须货真价实，符合环保节能要求，并提供相应合格证明资料（出厂合格证、质量证明书、出厂检验报告等）、质保书等，各项手续、文件必须真实完整有效可查；</w:t>
      </w:r>
    </w:p>
    <w:p w14:paraId="77971CCB">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严禁使用假冒伪劣产品，一经发现，该批次材料立即清退出场，并处该批次材料采购价两倍违约金，由成交供应商承担由此造成的一切损失。采购人有权进一步依据合同追究其违约责任（包括但不限于扣除履约保证金）；</w:t>
      </w:r>
    </w:p>
    <w:p w14:paraId="58D06CAC">
      <w:pPr>
        <w:numPr>
          <w:ilvl w:val="0"/>
          <w:numId w:val="0"/>
        </w:numPr>
        <w:snapToGrid w:val="0"/>
        <w:spacing w:line="400" w:lineRule="exact"/>
        <w:ind w:firstLine="480" w:firstLineChars="200"/>
        <w:jc w:val="left"/>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④所有管材、水箱、阀件、水泵等涉水设备均需符合标准，主管道、水箱、主要管件采用 304 不锈钢材质，符合医疗机构用水规范。</w:t>
      </w:r>
    </w:p>
    <w:p w14:paraId="25D5E8EF">
      <w:pPr>
        <w:numPr>
          <w:ilvl w:val="0"/>
          <w:numId w:val="13"/>
        </w:numPr>
        <w:snapToGrid w:val="0"/>
        <w:spacing w:line="400" w:lineRule="exact"/>
        <w:ind w:left="0" w:leftChars="0"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安全文明施工：</w:t>
      </w:r>
    </w:p>
    <w:p w14:paraId="153679DA">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成交供应商应遵守安全生产的有关管理规定，严格按照安全标准组织实施，建立安全生产体系，采取必要的安全防护措施，消除隐患。在施工过程中由于成交供应商管理或安全措施不力造成周边环境破坏或事故责任和因此发生的费用，由成交供应商承担；</w:t>
      </w:r>
    </w:p>
    <w:p w14:paraId="10DE5C09">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②成交供应商负责进入现场实施人员及财物安全，发生任何伤亡事故与采购人无关，成交供应商自行解决并承担相应的法律责任和财产损失。如因施工导致第三人人身、财产损失由成交供应商承担全部赔偿责任；</w:t>
      </w:r>
    </w:p>
    <w:p w14:paraId="50F58253">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③开工前须提交临时施工许可证申请，经相关部门审核通过并办理临时施工许可证后方可进行施工。为规范人员管理，施工期间，成交供应商工作人员须办理出入证明并加盖采购人公章生效使用；</w:t>
      </w:r>
    </w:p>
    <w:p w14:paraId="01DE5789">
      <w:pPr>
        <w:numPr>
          <w:ilvl w:val="0"/>
          <w:numId w:val="0"/>
        </w:num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④施工过程中，施工区域须始终保持完全封闭状态施工，除渣、运输等环节不得有粉尘污染。遇有重要接待、重要会议、重要活动时，须严格按照采购人要求暂停施工；</w:t>
      </w:r>
    </w:p>
    <w:p w14:paraId="1702757A">
      <w:pPr>
        <w:numPr>
          <w:ilvl w:val="0"/>
          <w:numId w:val="0"/>
        </w:numPr>
        <w:snapToGrid w:val="0"/>
        <w:spacing w:line="400" w:lineRule="exact"/>
        <w:ind w:firstLine="480" w:firstLineChars="200"/>
        <w:jc w:val="left"/>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⑤供应商须做到安全文明施工，做好施工噪声及扬尘控制。施工噪音执行《建筑施工场界环境噪声排放标准》（GB 12523-2011），昼间≤70dB，夜间≤55dB。高噪音作业（如混凝土浇筑、切割等）应尽量安排在昼间进行，不得影响采购人正常办公或诊疗。</w:t>
      </w:r>
    </w:p>
    <w:p w14:paraId="056F45DA">
      <w:pPr>
        <w:snapToGrid w:val="0"/>
        <w:spacing w:line="400" w:lineRule="exact"/>
        <w:ind w:firstLine="480" w:firstLineChars="200"/>
        <w:jc w:val="left"/>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6.本项目完工后需做好各项售后服务。</w:t>
      </w:r>
    </w:p>
    <w:p w14:paraId="546D4D95">
      <w:pPr>
        <w:snapToGrid w:val="0"/>
        <w:spacing w:line="400" w:lineRule="exact"/>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606174BC">
      <w:pPr>
        <w:rPr>
          <w:rFonts w:hint="eastAsia" w:ascii="宋体" w:hAnsi="宋体" w:eastAsia="仿宋" w:cs="宋体"/>
          <w:b/>
          <w:color w:val="000000" w:themeColor="text1"/>
          <w:sz w:val="36"/>
          <w:szCs w:val="36"/>
          <w:shd w:val="clear" w:color="auto" w:fill="auto"/>
          <w:lang w:val="en-US" w:eastAsia="zh-CN"/>
          <w14:textFill>
            <w14:solidFill>
              <w14:schemeClr w14:val="tx1"/>
            </w14:solidFill>
          </w14:textFill>
        </w:rPr>
      </w:pPr>
    </w:p>
    <w:p w14:paraId="5785DF9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AB1A28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BA4BE3A">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3ABDCBF3">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72D405A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650950FC">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4" w:name="_Toc17014"/>
      <w:bookmarkStart w:id="75" w:name="_Toc4364"/>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1641055"/>
      <w:bookmarkStart w:id="77" w:name="_Toc12789059"/>
    </w:p>
    <w:p w14:paraId="5642FEE9">
      <w:pPr>
        <w:pStyle w:val="4"/>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7358"/>
      <w:bookmarkStart w:id="80" w:name="_Toc485108793"/>
      <w:bookmarkStart w:id="81"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5DE03640">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1.质保期及售后服务：</w:t>
      </w:r>
    </w:p>
    <w:p w14:paraId="00BDFD4B">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①不少于2年，质保期内非人为损坏的设备、管路、配件故障，由成交供应商免费维修、更换；</w:t>
      </w:r>
    </w:p>
    <w:p w14:paraId="04F03CAE">
      <w:p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②售后维修响应时间不超过2小时。</w:t>
      </w:r>
    </w:p>
    <w:p w14:paraId="7517BE2F">
      <w:p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2.工期：施工工期30日历天，自院内施工许可审批完成、进场之日起计算。成交供应商需合理排布工序，分时段作业，最大限度降低对医院正常诊疗、用水的影响。</w:t>
      </w:r>
    </w:p>
    <w:p w14:paraId="4B3976FB">
      <w:p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3.施工安装要求：施工前需由采购方向医院申请院内施工安全许可办理，取得施工许可后方可施工。如需动火动焊需取得医院管理审批手续。</w:t>
      </w:r>
    </w:p>
    <w:p w14:paraId="507DE96D">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报价方式：本项目为总价包干，报价包含设备、材料、运输、装卸、二次搬运、安装、调试、人工、辅材、税费、现场清理、质保服务等全部费用，采购人不再额外支付任何费用。供应商须按照（附件）报价表逐项填报，列明材料、设备名称、规格型号、数量、单价、合价、总价等内容，缺项、漏项视为包含在总报价内。参选供应商根据2018年《重庆市房屋建筑与装饰工程计价定额》《重庆市通用安装工程计价定额》《重庆市房屋修缮工程计价定额》及相关配套文件自主报价。参选供应商应充分考虑完成本工程的各种因素且必须满足采购人的使用要求，参选供应商需自行前往场地勘察，因供应商自身原因造成漏报、少报皆由供应商自行承担，采购方不再补偿。</w:t>
      </w:r>
    </w:p>
    <w:p w14:paraId="7DCA544B">
      <w:pPr>
        <w:adjustRightInd w:val="0"/>
        <w:spacing w:line="5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验收方式：施工完成后，双方共同开展系统通水测试，确保其能正常使用。分别验证正常供水、市政停水应急供水两种工况。管路无渗漏，控制阀门、变频系统、自动补水装置动作灵敏，围栏、配套设施安装牢固。施工垃圾、废旧物料已全部清理完毕。</w:t>
      </w:r>
    </w:p>
    <w:p w14:paraId="740E6503">
      <w:pPr>
        <w:adjustRightInd w:val="0"/>
        <w:spacing w:line="5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6.付款方式：项目安装调试完成、验收合格后，成交供应商提供合法有效发票，经采购方审核后 30日内支付至合同总价的97%，剩余3%在质保期满后无息退还。</w:t>
      </w:r>
    </w:p>
    <w:p w14:paraId="5235ADBD">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3"/>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403569796"/>
      <w:bookmarkStart w:id="83" w:name="_Toc14840"/>
      <w:bookmarkStart w:id="84" w:name="_Toc26989"/>
      <w:bookmarkStart w:id="85" w:name="_Toc15711"/>
      <w:bookmarkStart w:id="86" w:name="_Toc485108794"/>
      <w:bookmarkStart w:id="87" w:name="_Toc148265480"/>
      <w:bookmarkStart w:id="88" w:name="_Toc30394582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30815"/>
      <w:bookmarkStart w:id="90" w:name="_Toc54718202"/>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241"/>
      <w:bookmarkStart w:id="109" w:name="_Toc54718206"/>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54718207"/>
      <w:bookmarkStart w:id="113" w:name="_Toc9053"/>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54718210"/>
      <w:bookmarkStart w:id="122" w:name="_Toc31719"/>
      <w:bookmarkStart w:id="123" w:name="_Toc26580"/>
      <w:bookmarkStart w:id="124" w:name="_Toc54718212"/>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3"/>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29521"/>
      <w:bookmarkStart w:id="136" w:name="_Toc13696"/>
      <w:bookmarkStart w:id="137" w:name="_Toc12789072"/>
      <w:bookmarkStart w:id="138" w:name="_Toc14085"/>
      <w:bookmarkStart w:id="139" w:name="_Toc485108795"/>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4"/>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4"/>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5685"/>
      <w:bookmarkStart w:id="148" w:name="_Toc21293"/>
      <w:bookmarkStart w:id="149" w:name="_Toc19884"/>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4"/>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480979018"/>
      <w:bookmarkStart w:id="152" w:name="_Toc313888360"/>
      <w:bookmarkStart w:id="153" w:name="_Toc313008356"/>
      <w:bookmarkStart w:id="154" w:name="_Toc5565"/>
      <w:bookmarkStart w:id="155" w:name="_Toc342913419"/>
      <w:bookmarkStart w:id="156" w:name="_Toc485108796"/>
      <w:bookmarkStart w:id="157" w:name="_Toc283382454"/>
      <w:bookmarkStart w:id="158"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0899CE13">
      <w:pPr>
        <w:tabs>
          <w:tab w:val="left" w:pos="1134"/>
        </w:tabs>
        <w:jc w:val="center"/>
        <w:rPr>
          <w:rFonts w:ascii="黑体" w:hAnsi="黑体" w:eastAsia="黑体"/>
          <w:sz w:val="32"/>
          <w:szCs w:val="32"/>
        </w:rPr>
      </w:pPr>
      <w:bookmarkStart w:id="159" w:name="_Toc480979019"/>
      <w:bookmarkStart w:id="160" w:name="_Toc313008357"/>
      <w:bookmarkStart w:id="161" w:name="_Toc485108797"/>
      <w:bookmarkStart w:id="162" w:name="_Toc342913420"/>
      <w:bookmarkStart w:id="163" w:name="_Toc313888361"/>
      <w:r>
        <w:rPr>
          <w:rFonts w:hint="eastAsia" w:ascii="黑体" w:hAnsi="黑体" w:eastAsia="黑体"/>
          <w:sz w:val="32"/>
          <w:szCs w:val="32"/>
        </w:rPr>
        <w:t>报 价 表</w:t>
      </w:r>
    </w:p>
    <w:tbl>
      <w:tblPr>
        <w:tblStyle w:val="58"/>
        <w:tblW w:w="9601" w:type="dxa"/>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712"/>
        <w:gridCol w:w="1247"/>
        <w:gridCol w:w="1173"/>
        <w:gridCol w:w="1202"/>
        <w:gridCol w:w="778"/>
        <w:gridCol w:w="1029"/>
        <w:gridCol w:w="1417"/>
        <w:gridCol w:w="1134"/>
        <w:gridCol w:w="909"/>
      </w:tblGrid>
      <w:tr w14:paraId="114823F0">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613" w:hRule="atLeast"/>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09E81A1">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序号</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AA594A7">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color w:val="auto"/>
                <w:sz w:val="24"/>
                <w:szCs w:val="24"/>
                <w:lang w:val="en-US" w:eastAsia="zh-CN"/>
              </w:rPr>
              <w:t>材料/设备</w:t>
            </w:r>
            <w:r>
              <w:rPr>
                <w:rFonts w:hint="eastAsia" w:ascii="方正仿宋_GBK" w:hAnsi="方正仿宋_GBK" w:eastAsia="方正仿宋_GBK" w:cs="方正仿宋_GBK"/>
                <w:color w:val="auto"/>
                <w:sz w:val="24"/>
                <w:szCs w:val="24"/>
              </w:rPr>
              <w:t>名称</w:t>
            </w: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BEC622D">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规格型号</w:t>
            </w: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EDE64E7">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生产厂家</w:t>
            </w: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289D5A9">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单位</w:t>
            </w: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F6EEB95">
            <w:pPr>
              <w:spacing w:before="120" w:after="120" w:line="288" w:lineRule="auto"/>
              <w:ind w:left="0"/>
              <w:jc w:val="center"/>
              <w:rPr>
                <w:rFonts w:hint="eastAsia" w:ascii="方正仿宋_GBK" w:hAnsi="方正仿宋_GBK" w:eastAsia="方正仿宋_GBK" w:cs="方正仿宋_GBK"/>
                <w:color w:val="0000FF"/>
                <w:sz w:val="24"/>
                <w:szCs w:val="24"/>
                <w:lang w:eastAsia="zh-CN"/>
              </w:rPr>
            </w:pPr>
            <w:r>
              <w:rPr>
                <w:rFonts w:hint="eastAsia" w:ascii="方正仿宋_GBK" w:hAnsi="方正仿宋_GBK" w:eastAsia="方正仿宋_GBK" w:cs="方正仿宋_GBK"/>
                <w:color w:val="auto"/>
                <w:sz w:val="24"/>
                <w:szCs w:val="24"/>
                <w:lang w:val="en-US" w:eastAsia="zh-CN"/>
              </w:rPr>
              <w:t>数量</w:t>
            </w: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D924A5">
            <w:pPr>
              <w:spacing w:before="120" w:after="120" w:line="288" w:lineRule="auto"/>
              <w:ind w:left="0"/>
              <w:jc w:val="center"/>
              <w:rPr>
                <w:rFonts w:hint="eastAsia" w:ascii="方正仿宋_GBK" w:hAnsi="方正仿宋_GBK" w:eastAsia="方正仿宋_GBK" w:cs="方正仿宋_GBK"/>
                <w:color w:val="0000FF"/>
                <w:sz w:val="24"/>
                <w:szCs w:val="24"/>
                <w:lang w:val="en-US" w:eastAsia="zh-CN"/>
              </w:rPr>
            </w:pPr>
            <w:r>
              <w:rPr>
                <w:rFonts w:hint="eastAsia" w:ascii="方正仿宋_GBK" w:hAnsi="方正仿宋_GBK" w:eastAsia="方正仿宋_GBK" w:cs="方正仿宋_GBK"/>
                <w:color w:val="auto"/>
                <w:sz w:val="24"/>
                <w:szCs w:val="24"/>
                <w:lang w:val="en-US" w:eastAsia="zh-CN"/>
              </w:rPr>
              <w:t>综合</w:t>
            </w:r>
            <w:r>
              <w:rPr>
                <w:rFonts w:hint="eastAsia" w:ascii="方正仿宋_GBK" w:hAnsi="方正仿宋_GBK" w:eastAsia="方正仿宋_GBK" w:cs="方正仿宋_GBK"/>
                <w:color w:val="auto"/>
                <w:sz w:val="24"/>
                <w:szCs w:val="24"/>
              </w:rPr>
              <w:t>单价</w:t>
            </w:r>
            <w:r>
              <w:rPr>
                <w:rFonts w:hint="eastAsia" w:ascii="方正仿宋_GBK" w:hAnsi="方正仿宋_GBK" w:eastAsia="方正仿宋_GBK" w:cs="方正仿宋_GBK"/>
                <w:color w:val="auto"/>
                <w:sz w:val="24"/>
                <w:szCs w:val="24"/>
                <w:lang w:val="en-US" w:eastAsia="zh-CN"/>
              </w:rPr>
              <w:t>(</w:t>
            </w:r>
            <w:r>
              <w:rPr>
                <w:rFonts w:hint="eastAsia" w:ascii="方正仿宋_GBK" w:hAnsi="方正仿宋_GBK" w:eastAsia="方正仿宋_GBK" w:cs="方正仿宋_GBK"/>
                <w:color w:val="auto"/>
                <w:sz w:val="24"/>
                <w:szCs w:val="24"/>
              </w:rPr>
              <w:t>元</w:t>
            </w:r>
            <w:r>
              <w:rPr>
                <w:rFonts w:hint="eastAsia" w:ascii="方正仿宋_GBK" w:hAnsi="方正仿宋_GBK" w:eastAsia="方正仿宋_GBK" w:cs="方正仿宋_GBK"/>
                <w:color w:val="auto"/>
                <w:sz w:val="24"/>
                <w:szCs w:val="24"/>
                <w:lang w:val="en-US" w:eastAsia="zh-CN"/>
              </w:rPr>
              <w:t>)</w:t>
            </w: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DA0E1AB">
            <w:pPr>
              <w:spacing w:before="120" w:after="120" w:line="288" w:lineRule="auto"/>
              <w:ind w:left="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合价(</w:t>
            </w:r>
            <w:r>
              <w:rPr>
                <w:rFonts w:hint="eastAsia" w:ascii="方正仿宋_GBK" w:hAnsi="方正仿宋_GBK" w:eastAsia="方正仿宋_GBK" w:cs="方正仿宋_GBK"/>
                <w:sz w:val="24"/>
                <w:szCs w:val="24"/>
              </w:rPr>
              <w:t>元</w:t>
            </w:r>
            <w:r>
              <w:rPr>
                <w:rFonts w:hint="eastAsia" w:ascii="方正仿宋_GBK" w:hAnsi="方正仿宋_GBK" w:eastAsia="方正仿宋_GBK" w:cs="方正仿宋_GBK"/>
                <w:sz w:val="24"/>
                <w:szCs w:val="24"/>
                <w:lang w:val="en-US" w:eastAsia="zh-CN"/>
              </w:rPr>
              <w:t>)</w:t>
            </w:r>
          </w:p>
        </w:tc>
        <w:tc>
          <w:tcPr>
            <w:tcW w:w="90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0EBE1F6">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备注</w:t>
            </w:r>
          </w:p>
        </w:tc>
      </w:tr>
      <w:tr w14:paraId="127BD54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4E85B85">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E24B426">
            <w:pPr>
              <w:spacing w:before="120" w:after="120" w:line="288" w:lineRule="auto"/>
              <w:ind w:left="0"/>
              <w:jc w:val="center"/>
              <w:rPr>
                <w:rFonts w:hint="eastAsia" w:ascii="方正仿宋_GBK" w:hAnsi="方正仿宋_GBK" w:eastAsia="方正仿宋_GBK" w:cs="方正仿宋_GBK"/>
                <w:sz w:val="24"/>
                <w:szCs w:val="24"/>
              </w:rPr>
            </w:pP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436123A">
            <w:pPr>
              <w:spacing w:before="120" w:after="120" w:line="288" w:lineRule="auto"/>
              <w:ind w:left="0"/>
              <w:jc w:val="center"/>
              <w:rPr>
                <w:rFonts w:hint="eastAsia" w:ascii="方正仿宋_GBK" w:hAnsi="方正仿宋_GBK" w:eastAsia="方正仿宋_GBK" w:cs="方正仿宋_GBK"/>
                <w:sz w:val="24"/>
                <w:szCs w:val="24"/>
              </w:rPr>
            </w:pP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A566223">
            <w:pPr>
              <w:spacing w:before="120" w:after="120" w:line="288" w:lineRule="auto"/>
              <w:ind w:left="0"/>
              <w:jc w:val="center"/>
              <w:rPr>
                <w:rFonts w:hint="eastAsia" w:ascii="方正仿宋_GBK" w:hAnsi="方正仿宋_GBK" w:eastAsia="方正仿宋_GBK" w:cs="方正仿宋_GBK"/>
                <w:sz w:val="24"/>
                <w:szCs w:val="24"/>
              </w:rPr>
            </w:pP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7C37B69">
            <w:pPr>
              <w:spacing w:before="120" w:after="120" w:line="288" w:lineRule="auto"/>
              <w:ind w:left="0"/>
              <w:jc w:val="center"/>
              <w:rPr>
                <w:rFonts w:hint="eastAsia" w:ascii="方正仿宋_GBK" w:hAnsi="方正仿宋_GBK" w:eastAsia="方正仿宋_GBK" w:cs="方正仿宋_GBK"/>
                <w:sz w:val="24"/>
                <w:szCs w:val="24"/>
              </w:rPr>
            </w:pP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B76CBB4">
            <w:pPr>
              <w:spacing w:before="120" w:after="120" w:line="288" w:lineRule="auto"/>
              <w:ind w:left="0"/>
              <w:jc w:val="center"/>
              <w:rPr>
                <w:rFonts w:hint="eastAsia" w:ascii="方正仿宋_GBK" w:hAnsi="方正仿宋_GBK" w:eastAsia="方正仿宋_GBK" w:cs="方正仿宋_GBK"/>
                <w:sz w:val="24"/>
                <w:szCs w:val="24"/>
              </w:rPr>
            </w:pP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362EC16">
            <w:pPr>
              <w:spacing w:before="120" w:after="120" w:line="288" w:lineRule="auto"/>
              <w:ind w:left="0"/>
              <w:jc w:val="center"/>
              <w:rPr>
                <w:rFonts w:hint="eastAsia" w:ascii="方正仿宋_GBK" w:hAnsi="方正仿宋_GBK" w:eastAsia="方正仿宋_GBK" w:cs="方正仿宋_GBK"/>
                <w:sz w:val="24"/>
                <w:szCs w:val="24"/>
              </w:rPr>
            </w:pP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57B400">
            <w:pPr>
              <w:spacing w:before="120" w:after="120" w:line="288" w:lineRule="auto"/>
              <w:ind w:left="0"/>
              <w:jc w:val="center"/>
              <w:rPr>
                <w:rFonts w:hint="eastAsia" w:ascii="方正仿宋_GBK" w:hAnsi="方正仿宋_GBK" w:eastAsia="方正仿宋_GBK" w:cs="方正仿宋_GBK"/>
                <w:sz w:val="24"/>
                <w:szCs w:val="24"/>
              </w:rPr>
            </w:pPr>
          </w:p>
        </w:tc>
        <w:tc>
          <w:tcPr>
            <w:tcW w:w="909" w:type="dxa"/>
            <w:vMerge w:val="restart"/>
            <w:tcBorders>
              <w:top w:val="single" w:color="auto" w:sz="4" w:space="0"/>
              <w:left w:val="single" w:color="auto" w:sz="4" w:space="0"/>
              <w:right w:val="single" w:color="auto" w:sz="4" w:space="0"/>
            </w:tcBorders>
            <w:tcMar>
              <w:top w:w="60" w:type="dxa"/>
              <w:left w:w="120" w:type="dxa"/>
              <w:bottom w:w="30" w:type="dxa"/>
              <w:right w:w="120" w:type="dxa"/>
            </w:tcMar>
            <w:vAlign w:val="center"/>
          </w:tcPr>
          <w:p w14:paraId="4CDE3A6E">
            <w:pPr>
              <w:spacing w:before="120" w:after="120" w:line="288" w:lineRule="auto"/>
              <w:ind w:left="0"/>
              <w:jc w:val="center"/>
              <w:rPr>
                <w:rFonts w:hint="eastAsia" w:ascii="方正仿宋_GBK" w:hAnsi="方正仿宋_GBK" w:eastAsia="方正仿宋_GBK" w:cs="方正仿宋_GBK"/>
                <w:sz w:val="24"/>
                <w:szCs w:val="24"/>
              </w:rPr>
            </w:pPr>
          </w:p>
        </w:tc>
      </w:tr>
      <w:tr w14:paraId="59C0EF5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EBA06D7">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F247CA6">
            <w:pPr>
              <w:spacing w:before="120" w:after="120" w:line="288" w:lineRule="auto"/>
              <w:ind w:left="0"/>
              <w:jc w:val="center"/>
              <w:rPr>
                <w:rFonts w:hint="eastAsia" w:ascii="方正仿宋_GBK" w:hAnsi="方正仿宋_GBK" w:eastAsia="方正仿宋_GBK" w:cs="方正仿宋_GBK"/>
                <w:sz w:val="24"/>
                <w:szCs w:val="24"/>
              </w:rPr>
            </w:pP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74275FD">
            <w:pPr>
              <w:spacing w:before="120" w:after="120" w:line="288" w:lineRule="auto"/>
              <w:ind w:left="0"/>
              <w:jc w:val="center"/>
              <w:rPr>
                <w:rFonts w:hint="eastAsia" w:ascii="方正仿宋_GBK" w:hAnsi="方正仿宋_GBK" w:eastAsia="方正仿宋_GBK" w:cs="方正仿宋_GBK"/>
                <w:sz w:val="24"/>
                <w:szCs w:val="24"/>
              </w:rPr>
            </w:pP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2E1AFDB">
            <w:pPr>
              <w:spacing w:before="120" w:after="120" w:line="288" w:lineRule="auto"/>
              <w:ind w:left="0"/>
              <w:jc w:val="center"/>
              <w:rPr>
                <w:rFonts w:hint="eastAsia" w:ascii="方正仿宋_GBK" w:hAnsi="方正仿宋_GBK" w:eastAsia="方正仿宋_GBK" w:cs="方正仿宋_GBK"/>
                <w:sz w:val="24"/>
                <w:szCs w:val="24"/>
              </w:rPr>
            </w:pP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FC03709">
            <w:pPr>
              <w:spacing w:before="120" w:after="120" w:line="288" w:lineRule="auto"/>
              <w:ind w:left="0"/>
              <w:jc w:val="center"/>
              <w:rPr>
                <w:rFonts w:hint="eastAsia" w:ascii="方正仿宋_GBK" w:hAnsi="方正仿宋_GBK" w:eastAsia="方正仿宋_GBK" w:cs="方正仿宋_GBK"/>
                <w:sz w:val="24"/>
                <w:szCs w:val="24"/>
              </w:rPr>
            </w:pP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1B46661">
            <w:pPr>
              <w:spacing w:before="120" w:after="120" w:line="288" w:lineRule="auto"/>
              <w:ind w:left="0"/>
              <w:jc w:val="center"/>
              <w:rPr>
                <w:rFonts w:hint="eastAsia" w:ascii="方正仿宋_GBK" w:hAnsi="方正仿宋_GBK" w:eastAsia="方正仿宋_GBK" w:cs="方正仿宋_GBK"/>
                <w:sz w:val="24"/>
                <w:szCs w:val="24"/>
              </w:rPr>
            </w:pP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0FD781E">
            <w:pPr>
              <w:spacing w:before="120" w:after="120" w:line="288" w:lineRule="auto"/>
              <w:ind w:left="0"/>
              <w:jc w:val="center"/>
              <w:rPr>
                <w:rFonts w:hint="eastAsia" w:ascii="方正仿宋_GBK" w:hAnsi="方正仿宋_GBK" w:eastAsia="方正仿宋_GBK" w:cs="方正仿宋_GBK"/>
                <w:sz w:val="24"/>
                <w:szCs w:val="24"/>
              </w:rPr>
            </w:pP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AE60F63">
            <w:pPr>
              <w:spacing w:before="120" w:after="120" w:line="288" w:lineRule="auto"/>
              <w:ind w:left="0"/>
              <w:jc w:val="center"/>
              <w:rPr>
                <w:rFonts w:hint="eastAsia" w:ascii="方正仿宋_GBK" w:hAnsi="方正仿宋_GBK" w:eastAsia="方正仿宋_GBK" w:cs="方正仿宋_GBK"/>
                <w:sz w:val="24"/>
                <w:szCs w:val="24"/>
              </w:rPr>
            </w:pPr>
          </w:p>
        </w:tc>
        <w:tc>
          <w:tcPr>
            <w:tcW w:w="909" w:type="dxa"/>
            <w:vMerge w:val="continue"/>
            <w:tcBorders>
              <w:left w:val="single" w:color="auto" w:sz="4" w:space="0"/>
              <w:right w:val="single" w:color="auto" w:sz="4" w:space="0"/>
            </w:tcBorders>
            <w:tcMar>
              <w:top w:w="60" w:type="dxa"/>
              <w:left w:w="120" w:type="dxa"/>
              <w:bottom w:w="30" w:type="dxa"/>
              <w:right w:w="120" w:type="dxa"/>
            </w:tcMar>
            <w:vAlign w:val="center"/>
          </w:tcPr>
          <w:p w14:paraId="28824DDD">
            <w:pPr>
              <w:spacing w:before="120" w:after="120" w:line="288" w:lineRule="auto"/>
              <w:ind w:left="0"/>
              <w:jc w:val="center"/>
              <w:rPr>
                <w:rFonts w:hint="eastAsia" w:ascii="方正仿宋_GBK" w:hAnsi="方正仿宋_GBK" w:eastAsia="方正仿宋_GBK" w:cs="方正仿宋_GBK"/>
                <w:sz w:val="24"/>
                <w:szCs w:val="24"/>
              </w:rPr>
            </w:pPr>
          </w:p>
        </w:tc>
      </w:tr>
      <w:tr w14:paraId="48DA5F2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644744E">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B5E81A">
            <w:pPr>
              <w:spacing w:before="120" w:after="120" w:line="288" w:lineRule="auto"/>
              <w:ind w:left="0"/>
              <w:jc w:val="center"/>
              <w:rPr>
                <w:rFonts w:hint="eastAsia" w:ascii="方正仿宋_GBK" w:hAnsi="方正仿宋_GBK" w:eastAsia="方正仿宋_GBK" w:cs="方正仿宋_GBK"/>
                <w:sz w:val="24"/>
                <w:szCs w:val="24"/>
              </w:rPr>
            </w:pP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CE6060A">
            <w:pPr>
              <w:spacing w:before="120" w:after="120" w:line="288" w:lineRule="auto"/>
              <w:ind w:left="0"/>
              <w:jc w:val="center"/>
              <w:rPr>
                <w:rFonts w:hint="eastAsia" w:ascii="方正仿宋_GBK" w:hAnsi="方正仿宋_GBK" w:eastAsia="方正仿宋_GBK" w:cs="方正仿宋_GBK"/>
                <w:sz w:val="24"/>
                <w:szCs w:val="24"/>
              </w:rPr>
            </w:pP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A49D330">
            <w:pPr>
              <w:spacing w:before="120" w:after="120" w:line="288" w:lineRule="auto"/>
              <w:ind w:left="0"/>
              <w:jc w:val="center"/>
              <w:rPr>
                <w:rFonts w:hint="eastAsia" w:ascii="方正仿宋_GBK" w:hAnsi="方正仿宋_GBK" w:eastAsia="方正仿宋_GBK" w:cs="方正仿宋_GBK"/>
                <w:sz w:val="24"/>
                <w:szCs w:val="24"/>
              </w:rPr>
            </w:pP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486F48">
            <w:pPr>
              <w:spacing w:before="120" w:after="120" w:line="288" w:lineRule="auto"/>
              <w:ind w:left="0"/>
              <w:jc w:val="center"/>
              <w:rPr>
                <w:rFonts w:hint="eastAsia" w:ascii="方正仿宋_GBK" w:hAnsi="方正仿宋_GBK" w:eastAsia="方正仿宋_GBK" w:cs="方正仿宋_GBK"/>
                <w:sz w:val="24"/>
                <w:szCs w:val="24"/>
              </w:rPr>
            </w:pP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F53E2A3">
            <w:pPr>
              <w:spacing w:before="120" w:after="120" w:line="288" w:lineRule="auto"/>
              <w:ind w:left="0"/>
              <w:jc w:val="center"/>
              <w:rPr>
                <w:rFonts w:hint="eastAsia" w:ascii="方正仿宋_GBK" w:hAnsi="方正仿宋_GBK" w:eastAsia="方正仿宋_GBK" w:cs="方正仿宋_GBK"/>
                <w:sz w:val="24"/>
                <w:szCs w:val="24"/>
              </w:rPr>
            </w:pP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BA1A679">
            <w:pPr>
              <w:spacing w:before="120" w:after="120" w:line="288" w:lineRule="auto"/>
              <w:ind w:left="0"/>
              <w:jc w:val="center"/>
              <w:rPr>
                <w:rFonts w:hint="eastAsia" w:ascii="方正仿宋_GBK" w:hAnsi="方正仿宋_GBK" w:eastAsia="方正仿宋_GBK" w:cs="方正仿宋_GBK"/>
                <w:sz w:val="24"/>
                <w:szCs w:val="24"/>
              </w:rPr>
            </w:pP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8CFDE32">
            <w:pPr>
              <w:spacing w:before="120" w:after="120" w:line="288" w:lineRule="auto"/>
              <w:ind w:left="0"/>
              <w:jc w:val="center"/>
              <w:rPr>
                <w:rFonts w:hint="eastAsia" w:ascii="方正仿宋_GBK" w:hAnsi="方正仿宋_GBK" w:eastAsia="方正仿宋_GBK" w:cs="方正仿宋_GBK"/>
                <w:sz w:val="24"/>
                <w:szCs w:val="24"/>
              </w:rPr>
            </w:pPr>
          </w:p>
        </w:tc>
        <w:tc>
          <w:tcPr>
            <w:tcW w:w="909" w:type="dxa"/>
            <w:vMerge w:val="continue"/>
            <w:tcBorders>
              <w:left w:val="single" w:color="auto" w:sz="4" w:space="0"/>
              <w:right w:val="single" w:color="auto" w:sz="4" w:space="0"/>
            </w:tcBorders>
            <w:tcMar>
              <w:top w:w="60" w:type="dxa"/>
              <w:left w:w="120" w:type="dxa"/>
              <w:bottom w:w="30" w:type="dxa"/>
              <w:right w:w="120" w:type="dxa"/>
            </w:tcMar>
            <w:vAlign w:val="center"/>
          </w:tcPr>
          <w:p w14:paraId="228AED61">
            <w:pPr>
              <w:spacing w:before="120" w:after="120" w:line="288" w:lineRule="auto"/>
              <w:ind w:left="0"/>
              <w:jc w:val="center"/>
              <w:rPr>
                <w:rFonts w:hint="eastAsia" w:ascii="方正仿宋_GBK" w:hAnsi="方正仿宋_GBK" w:eastAsia="方正仿宋_GBK" w:cs="方正仿宋_GBK"/>
                <w:sz w:val="24"/>
                <w:szCs w:val="24"/>
              </w:rPr>
            </w:pPr>
          </w:p>
        </w:tc>
      </w:tr>
      <w:tr w14:paraId="336FE57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BE17A7F">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DED9512">
            <w:pPr>
              <w:spacing w:before="120" w:after="120" w:line="288" w:lineRule="auto"/>
              <w:ind w:left="0"/>
              <w:jc w:val="center"/>
              <w:rPr>
                <w:rFonts w:hint="eastAsia" w:ascii="方正仿宋_GBK" w:hAnsi="方正仿宋_GBK" w:eastAsia="方正仿宋_GBK" w:cs="方正仿宋_GBK"/>
                <w:sz w:val="24"/>
                <w:szCs w:val="24"/>
              </w:rPr>
            </w:pP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B327E8D">
            <w:pPr>
              <w:spacing w:before="120" w:after="120" w:line="288" w:lineRule="auto"/>
              <w:ind w:left="0"/>
              <w:jc w:val="center"/>
              <w:rPr>
                <w:rFonts w:hint="eastAsia" w:ascii="方正仿宋_GBK" w:hAnsi="方正仿宋_GBK" w:eastAsia="方正仿宋_GBK" w:cs="方正仿宋_GBK"/>
                <w:sz w:val="24"/>
                <w:szCs w:val="24"/>
              </w:rPr>
            </w:pP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2961D94">
            <w:pPr>
              <w:spacing w:before="120" w:after="120" w:line="288" w:lineRule="auto"/>
              <w:ind w:left="0"/>
              <w:jc w:val="center"/>
              <w:rPr>
                <w:rFonts w:hint="eastAsia" w:ascii="方正仿宋_GBK" w:hAnsi="方正仿宋_GBK" w:eastAsia="方正仿宋_GBK" w:cs="方正仿宋_GBK"/>
                <w:sz w:val="24"/>
                <w:szCs w:val="24"/>
              </w:rPr>
            </w:pP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2C25098">
            <w:pPr>
              <w:spacing w:before="120" w:after="120" w:line="288" w:lineRule="auto"/>
              <w:ind w:left="0"/>
              <w:jc w:val="center"/>
              <w:rPr>
                <w:rFonts w:hint="eastAsia" w:ascii="方正仿宋_GBK" w:hAnsi="方正仿宋_GBK" w:eastAsia="方正仿宋_GBK" w:cs="方正仿宋_GBK"/>
                <w:sz w:val="24"/>
                <w:szCs w:val="24"/>
              </w:rPr>
            </w:pP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F5ADD78">
            <w:pPr>
              <w:spacing w:before="120" w:after="120" w:line="288" w:lineRule="auto"/>
              <w:ind w:left="0"/>
              <w:jc w:val="center"/>
              <w:rPr>
                <w:rFonts w:hint="eastAsia" w:ascii="方正仿宋_GBK" w:hAnsi="方正仿宋_GBK" w:eastAsia="方正仿宋_GBK" w:cs="方正仿宋_GBK"/>
                <w:sz w:val="24"/>
                <w:szCs w:val="24"/>
              </w:rPr>
            </w:pP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14DA35D">
            <w:pPr>
              <w:spacing w:before="120" w:after="120" w:line="288" w:lineRule="auto"/>
              <w:ind w:left="0"/>
              <w:jc w:val="center"/>
              <w:rPr>
                <w:rFonts w:hint="eastAsia" w:ascii="方正仿宋_GBK" w:hAnsi="方正仿宋_GBK" w:eastAsia="方正仿宋_GBK" w:cs="方正仿宋_GBK"/>
                <w:sz w:val="24"/>
                <w:szCs w:val="24"/>
              </w:rPr>
            </w:pP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11DFC82">
            <w:pPr>
              <w:spacing w:before="120" w:after="120" w:line="288" w:lineRule="auto"/>
              <w:ind w:left="0"/>
              <w:jc w:val="center"/>
              <w:rPr>
                <w:rFonts w:hint="eastAsia" w:ascii="方正仿宋_GBK" w:hAnsi="方正仿宋_GBK" w:eastAsia="方正仿宋_GBK" w:cs="方正仿宋_GBK"/>
                <w:sz w:val="24"/>
                <w:szCs w:val="24"/>
              </w:rPr>
            </w:pPr>
          </w:p>
        </w:tc>
        <w:tc>
          <w:tcPr>
            <w:tcW w:w="909" w:type="dxa"/>
            <w:vMerge w:val="continue"/>
            <w:tcBorders>
              <w:left w:val="single" w:color="auto" w:sz="4" w:space="0"/>
              <w:right w:val="single" w:color="auto" w:sz="4" w:space="0"/>
            </w:tcBorders>
            <w:tcMar>
              <w:top w:w="60" w:type="dxa"/>
              <w:left w:w="120" w:type="dxa"/>
              <w:bottom w:w="30" w:type="dxa"/>
              <w:right w:w="120" w:type="dxa"/>
            </w:tcMar>
            <w:vAlign w:val="center"/>
          </w:tcPr>
          <w:p w14:paraId="61431253">
            <w:pPr>
              <w:spacing w:before="120" w:after="120" w:line="288" w:lineRule="auto"/>
              <w:ind w:left="0"/>
              <w:jc w:val="center"/>
              <w:rPr>
                <w:rFonts w:hint="eastAsia" w:ascii="方正仿宋_GBK" w:hAnsi="方正仿宋_GBK" w:eastAsia="方正仿宋_GBK" w:cs="方正仿宋_GBK"/>
                <w:sz w:val="24"/>
                <w:szCs w:val="24"/>
              </w:rPr>
            </w:pPr>
          </w:p>
        </w:tc>
      </w:tr>
      <w:tr w14:paraId="1697FBAF">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71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374ACAA">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c>
          <w:tcPr>
            <w:tcW w:w="124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F9AAF3A">
            <w:pPr>
              <w:spacing w:before="120" w:after="120" w:line="288" w:lineRule="auto"/>
              <w:ind w:left="0"/>
              <w:jc w:val="center"/>
              <w:rPr>
                <w:rFonts w:hint="eastAsia" w:ascii="方正仿宋_GBK" w:hAnsi="方正仿宋_GBK" w:eastAsia="方正仿宋_GBK" w:cs="方正仿宋_GBK"/>
                <w:sz w:val="24"/>
                <w:szCs w:val="24"/>
              </w:rPr>
            </w:pPr>
          </w:p>
        </w:tc>
        <w:tc>
          <w:tcPr>
            <w:tcW w:w="117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404ADFF">
            <w:pPr>
              <w:spacing w:before="120" w:after="120" w:line="288" w:lineRule="auto"/>
              <w:ind w:left="0"/>
              <w:jc w:val="center"/>
              <w:rPr>
                <w:rFonts w:hint="eastAsia" w:ascii="方正仿宋_GBK" w:hAnsi="方正仿宋_GBK" w:eastAsia="方正仿宋_GBK" w:cs="方正仿宋_GBK"/>
                <w:sz w:val="24"/>
                <w:szCs w:val="24"/>
              </w:rPr>
            </w:pPr>
          </w:p>
        </w:tc>
        <w:tc>
          <w:tcPr>
            <w:tcW w:w="120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DAF5A93">
            <w:pPr>
              <w:spacing w:before="120" w:after="120" w:line="288" w:lineRule="auto"/>
              <w:ind w:left="0"/>
              <w:jc w:val="center"/>
              <w:rPr>
                <w:rFonts w:hint="eastAsia" w:ascii="方正仿宋_GBK" w:hAnsi="方正仿宋_GBK" w:eastAsia="方正仿宋_GBK" w:cs="方正仿宋_GBK"/>
                <w:sz w:val="24"/>
                <w:szCs w:val="24"/>
              </w:rPr>
            </w:pPr>
          </w:p>
        </w:tc>
        <w:tc>
          <w:tcPr>
            <w:tcW w:w="77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B5AA58">
            <w:pPr>
              <w:spacing w:before="120" w:after="120" w:line="288" w:lineRule="auto"/>
              <w:ind w:left="0"/>
              <w:jc w:val="center"/>
              <w:rPr>
                <w:rFonts w:hint="eastAsia" w:ascii="方正仿宋_GBK" w:hAnsi="方正仿宋_GBK" w:eastAsia="方正仿宋_GBK" w:cs="方正仿宋_GBK"/>
                <w:sz w:val="24"/>
                <w:szCs w:val="24"/>
              </w:rPr>
            </w:pPr>
          </w:p>
        </w:tc>
        <w:tc>
          <w:tcPr>
            <w:tcW w:w="102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35C9672">
            <w:pPr>
              <w:spacing w:before="120" w:after="120" w:line="288" w:lineRule="auto"/>
              <w:ind w:left="0"/>
              <w:jc w:val="center"/>
              <w:rPr>
                <w:rFonts w:hint="eastAsia" w:ascii="方正仿宋_GBK" w:hAnsi="方正仿宋_GBK" w:eastAsia="方正仿宋_GBK" w:cs="方正仿宋_GBK"/>
                <w:sz w:val="24"/>
                <w:szCs w:val="24"/>
              </w:rPr>
            </w:pPr>
          </w:p>
        </w:tc>
        <w:tc>
          <w:tcPr>
            <w:tcW w:w="141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CFD4541">
            <w:pPr>
              <w:spacing w:before="120" w:after="120" w:line="288" w:lineRule="auto"/>
              <w:ind w:left="0"/>
              <w:jc w:val="center"/>
              <w:rPr>
                <w:rFonts w:hint="eastAsia" w:ascii="方正仿宋_GBK" w:hAnsi="方正仿宋_GBK" w:eastAsia="方正仿宋_GBK" w:cs="方正仿宋_GBK"/>
                <w:sz w:val="24"/>
                <w:szCs w:val="24"/>
              </w:rPr>
            </w:pPr>
          </w:p>
        </w:tc>
        <w:tc>
          <w:tcPr>
            <w:tcW w:w="113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BB3587B">
            <w:pPr>
              <w:spacing w:before="120" w:after="120" w:line="288" w:lineRule="auto"/>
              <w:ind w:left="0"/>
              <w:jc w:val="center"/>
              <w:rPr>
                <w:rFonts w:hint="eastAsia" w:ascii="方正仿宋_GBK" w:hAnsi="方正仿宋_GBK" w:eastAsia="方正仿宋_GBK" w:cs="方正仿宋_GBK"/>
                <w:sz w:val="24"/>
                <w:szCs w:val="24"/>
              </w:rPr>
            </w:pPr>
          </w:p>
        </w:tc>
        <w:tc>
          <w:tcPr>
            <w:tcW w:w="909" w:type="dxa"/>
            <w:vMerge w:val="continue"/>
            <w:tcBorders>
              <w:left w:val="single" w:color="auto" w:sz="4" w:space="0"/>
              <w:bottom w:val="single" w:color="auto" w:sz="4" w:space="0"/>
              <w:right w:val="single" w:color="auto" w:sz="4" w:space="0"/>
            </w:tcBorders>
            <w:tcMar>
              <w:top w:w="60" w:type="dxa"/>
              <w:left w:w="120" w:type="dxa"/>
              <w:bottom w:w="30" w:type="dxa"/>
              <w:right w:w="120" w:type="dxa"/>
            </w:tcMar>
            <w:vAlign w:val="center"/>
          </w:tcPr>
          <w:p w14:paraId="33A3D856">
            <w:pPr>
              <w:spacing w:before="120" w:after="120" w:line="288" w:lineRule="auto"/>
              <w:ind w:left="0"/>
              <w:jc w:val="center"/>
              <w:rPr>
                <w:rFonts w:hint="eastAsia" w:ascii="方正仿宋_GBK" w:hAnsi="方正仿宋_GBK" w:eastAsia="方正仿宋_GBK" w:cs="方正仿宋_GBK"/>
                <w:sz w:val="24"/>
                <w:szCs w:val="24"/>
              </w:rPr>
            </w:pPr>
          </w:p>
        </w:tc>
      </w:tr>
      <w:tr w14:paraId="6CE707B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jc w:val="center"/>
        </w:trPr>
        <w:tc>
          <w:tcPr>
            <w:tcW w:w="1959" w:type="dxa"/>
            <w:gridSpan w:val="2"/>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11E7D03">
            <w:pPr>
              <w:spacing w:before="120" w:after="120" w:line="288" w:lineRule="auto"/>
              <w:ind w:left="0"/>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总价（元）</w:t>
            </w:r>
          </w:p>
        </w:tc>
        <w:tc>
          <w:tcPr>
            <w:tcW w:w="7642" w:type="dxa"/>
            <w:gridSpan w:val="7"/>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B8C64EA">
            <w:pPr>
              <w:spacing w:before="120" w:after="120" w:line="288" w:lineRule="auto"/>
              <w:ind w:left="0"/>
              <w:jc w:val="center"/>
              <w:rPr>
                <w:rFonts w:hint="eastAsia" w:ascii="方正仿宋_GBK" w:hAnsi="方正仿宋_GBK" w:eastAsia="方正仿宋_GBK" w:cs="方正仿宋_GBK"/>
                <w:sz w:val="24"/>
                <w:szCs w:val="24"/>
              </w:rPr>
            </w:pPr>
          </w:p>
        </w:tc>
      </w:tr>
    </w:tbl>
    <w:p w14:paraId="46420D74">
      <w:pPr>
        <w:spacing w:line="360" w:lineRule="auto"/>
        <w:rPr>
          <w:rFonts w:hint="eastAsia" w:ascii="仿宋" w:hAnsi="仿宋" w:eastAsia="仿宋"/>
          <w:b/>
          <w:bCs/>
          <w:sz w:val="32"/>
          <w:szCs w:val="32"/>
        </w:rPr>
      </w:pPr>
      <w:r>
        <w:rPr>
          <w:rFonts w:hint="eastAsia" w:ascii="宋体" w:hAnsi="宋体"/>
          <w:sz w:val="28"/>
          <w:szCs w:val="28"/>
        </w:rPr>
        <w:t>备注：</w:t>
      </w:r>
      <w:r>
        <w:rPr>
          <w:rFonts w:hint="eastAsia" w:ascii="宋体" w:hAnsi="宋体"/>
          <w:sz w:val="28"/>
          <w:szCs w:val="28"/>
          <w:lang w:val="en-US" w:eastAsia="zh-CN"/>
        </w:rPr>
        <w:t>综合单价包括设备、材料、运输、装卸、二次搬运、安装、调试、人工、辅材、税费、现场清理、质保服务等全部费用，采购人不再额外支付任何费用，缺项、漏项视为包含在总报价内</w:t>
      </w:r>
      <w:r>
        <w:rPr>
          <w:rFonts w:hint="eastAsia" w:ascii="宋体" w:hAnsi="宋体"/>
          <w:sz w:val="28"/>
          <w:szCs w:val="28"/>
        </w:rPr>
        <w:t>。</w:t>
      </w:r>
    </w:p>
    <w:p w14:paraId="33617F0C">
      <w:pPr>
        <w:rPr>
          <w:rFonts w:hint="eastAsia" w:ascii="宋体" w:hAnsi="宋体" w:eastAsia="宋体" w:cs="宋体"/>
          <w:color w:val="FF0000"/>
          <w:kern w:val="2"/>
          <w:sz w:val="21"/>
          <w:szCs w:val="21"/>
          <w:shd w:val="clear" w:color="auto" w:fill="auto"/>
          <w:lang w:val="en-US" w:eastAsia="zh-CN" w:bidi="ar-SA"/>
        </w:rPr>
      </w:pPr>
    </w:p>
    <w:p w14:paraId="715F5277">
      <w:pPr>
        <w:pStyle w:val="22"/>
        <w:rPr>
          <w:rFonts w:hint="eastAsia" w:ascii="宋体" w:hAnsi="宋体" w:eastAsia="宋体" w:cs="宋体"/>
          <w:color w:val="FF0000"/>
          <w:sz w:val="24"/>
          <w:szCs w:val="24"/>
          <w:shd w:val="clear" w:color="auto" w:fill="auto"/>
          <w:lang w:val="en-US" w:eastAsia="zh-CN"/>
        </w:rPr>
      </w:pPr>
    </w:p>
    <w:p w14:paraId="5DAAEC05">
      <w:pPr>
        <w:pStyle w:val="22"/>
        <w:ind w:firstLine="11480" w:firstLineChars="4100"/>
        <w:rPr>
          <w:rFonts w:hint="eastAsia" w:ascii="宋体" w:hAnsi="宋体" w:eastAsia="宋体" w:cs="宋体"/>
          <w:color w:val="FF0000"/>
          <w:sz w:val="28"/>
          <w:szCs w:val="28"/>
          <w:shd w:val="clear" w:color="auto" w:fill="auto"/>
          <w:lang w:val="en-US" w:eastAsia="zh-CN"/>
        </w:rPr>
      </w:pPr>
    </w:p>
    <w:p w14:paraId="26BD9500">
      <w:pPr>
        <w:pStyle w:val="22"/>
        <w:ind w:firstLine="11480" w:firstLineChars="4100"/>
        <w:rPr>
          <w:rFonts w:hint="eastAsia" w:ascii="宋体" w:hAnsi="宋体" w:eastAsia="宋体" w:cs="宋体"/>
          <w:color w:val="FF0000"/>
          <w:sz w:val="28"/>
          <w:szCs w:val="28"/>
          <w:shd w:val="clear" w:color="auto" w:fill="auto"/>
          <w:lang w:val="en-US" w:eastAsia="zh-CN"/>
        </w:rPr>
      </w:pPr>
    </w:p>
    <w:p w14:paraId="77211045">
      <w:pPr>
        <w:pStyle w:val="22"/>
        <w:ind w:left="6983" w:leftChars="3325" w:firstLine="4480" w:firstLineChars="1600"/>
        <w:rPr>
          <w:rFonts w:hint="eastAsia" w:ascii="宋体" w:hAnsi="宋体" w:eastAsia="宋体" w:cs="宋体"/>
          <w:color w:val="FF0000"/>
          <w:sz w:val="28"/>
          <w:szCs w:val="28"/>
          <w:shd w:val="clear" w:color="auto" w:fill="auto"/>
          <w:lang w:val="en-US" w:eastAsia="zh-CN"/>
        </w:rPr>
      </w:pPr>
      <w:r>
        <w:rPr>
          <w:rFonts w:hint="eastAsia" w:ascii="宋体" w:hAnsi="宋体" w:eastAsia="宋体" w:cs="宋体"/>
          <w:color w:val="FF0000"/>
          <w:sz w:val="28"/>
          <w:szCs w:val="28"/>
          <w:shd w:val="clear" w:color="auto" w:fill="auto"/>
          <w:lang w:val="en-US" w:eastAsia="zh-CN"/>
        </w:rPr>
        <w:t xml:space="preserve"> 参选供应商公章</w:t>
      </w:r>
    </w:p>
    <w:p w14:paraId="12F53D94">
      <w:pPr>
        <w:pStyle w:val="22"/>
        <w:ind w:left="7262" w:leftChars="3458" w:firstLine="3920" w:firstLineChars="1400"/>
        <w:rPr>
          <w:rFonts w:hint="eastAsia" w:ascii="宋体" w:hAnsi="宋体" w:eastAsia="宋体" w:cs="宋体"/>
          <w:b/>
          <w:color w:val="000000" w:themeColor="text1"/>
          <w:shd w:val="clear" w:color="auto" w:fill="auto"/>
          <w:lang w:eastAsia="zh-CN"/>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FF0000"/>
          <w:sz w:val="28"/>
          <w:szCs w:val="28"/>
          <w:shd w:val="clear" w:color="auto" w:fill="auto"/>
          <w:lang w:val="en-US" w:eastAsia="zh-CN"/>
        </w:rPr>
        <w:t>年年   月  日</w:t>
      </w: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lang w:eastAsia="zh-CN"/>
          <w14:textFill>
            <w14:solidFill>
              <w14:schemeClr w14:val="tx1"/>
            </w14:solidFill>
          </w14:textFill>
        </w:rPr>
        <w:tab/>
      </w:r>
      <w:bookmarkStart w:id="164" w:name="_Toc12908"/>
      <w:bookmarkStart w:id="165" w:name="_Toc9883"/>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15203"/>
      <w:bookmarkStart w:id="167" w:name="_Toc313008358"/>
      <w:bookmarkStart w:id="168" w:name="_Toc342913421"/>
      <w:bookmarkStart w:id="169" w:name="_Toc13844"/>
      <w:bookmarkStart w:id="170" w:name="_Toc313888362"/>
      <w:bookmarkStart w:id="171" w:name="_Toc485108798"/>
      <w:bookmarkStart w:id="172" w:name="_Toc480979020"/>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1"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9941"/>
      <w:bookmarkStart w:id="178"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13008359"/>
      <w:bookmarkStart w:id="180" w:name="_Toc342913422"/>
      <w:bookmarkStart w:id="181" w:name="_Toc313888363"/>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7"/>
      <w:bookmarkStart w:id="183" w:name="OLE_LINK4"/>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szCs w:val="24"/>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6"/>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C32183-8FD6-4810-A21A-B1327CA858F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7CAAE10A-5C7D-459E-AEA2-AAD75A479191}"/>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3" w:fontKey="{E3401C35-7196-41C3-80A0-1349A4CF85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B01BF">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1DA0E7"/>
    <w:multiLevelType w:val="singleLevel"/>
    <w:tmpl w:val="831DA0E7"/>
    <w:lvl w:ilvl="0" w:tentative="0">
      <w:start w:val="4"/>
      <w:numFmt w:val="decimal"/>
      <w:lvlText w:val="%1."/>
      <w:lvlJc w:val="left"/>
      <w:pPr>
        <w:tabs>
          <w:tab w:val="left" w:pos="312"/>
        </w:tabs>
      </w:pPr>
    </w:lvl>
  </w:abstractNum>
  <w:abstractNum w:abstractNumId="1">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4"/>
  </w:num>
  <w:num w:numId="3">
    <w:abstractNumId w:val="10"/>
  </w:num>
  <w:num w:numId="4">
    <w:abstractNumId w:val="7"/>
  </w:num>
  <w:num w:numId="5">
    <w:abstractNumId w:val="6"/>
  </w:num>
  <w:num w:numId="6">
    <w:abstractNumId w:val="2"/>
  </w:num>
  <w:num w:numId="7">
    <w:abstractNumId w:val="8"/>
  </w:num>
  <w:num w:numId="8">
    <w:abstractNumId w:val="1"/>
  </w:num>
  <w:num w:numId="9">
    <w:abstractNumId w:val="3"/>
  </w:num>
  <w:num w:numId="10">
    <w:abstractNumId w:val="12"/>
  </w:num>
  <w:num w:numId="11">
    <w:abstractNumId w:val="5"/>
  </w:num>
  <w:num w:numId="12">
    <w:abstractNumId w:val="11"/>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481EEF"/>
    <w:rsid w:val="0C56674E"/>
    <w:rsid w:val="0C931BB2"/>
    <w:rsid w:val="0C975B64"/>
    <w:rsid w:val="0C9D3992"/>
    <w:rsid w:val="0D4903E8"/>
    <w:rsid w:val="0DC167EC"/>
    <w:rsid w:val="0E0E625A"/>
    <w:rsid w:val="0E38674E"/>
    <w:rsid w:val="0E4D3D6E"/>
    <w:rsid w:val="0E5721EA"/>
    <w:rsid w:val="0E5A796A"/>
    <w:rsid w:val="0E5B5064"/>
    <w:rsid w:val="0E5B6625"/>
    <w:rsid w:val="0E9859A3"/>
    <w:rsid w:val="0E987B2D"/>
    <w:rsid w:val="0ECE4584"/>
    <w:rsid w:val="0EF1138E"/>
    <w:rsid w:val="0F0C791F"/>
    <w:rsid w:val="0F291536"/>
    <w:rsid w:val="0FAB0EE6"/>
    <w:rsid w:val="0FC701EB"/>
    <w:rsid w:val="0FD61CDB"/>
    <w:rsid w:val="0FD8306F"/>
    <w:rsid w:val="0FFD1C5A"/>
    <w:rsid w:val="1014334F"/>
    <w:rsid w:val="10246EEB"/>
    <w:rsid w:val="10413B50"/>
    <w:rsid w:val="104D689B"/>
    <w:rsid w:val="109D57E0"/>
    <w:rsid w:val="10BF5E9B"/>
    <w:rsid w:val="111523FC"/>
    <w:rsid w:val="111C3A01"/>
    <w:rsid w:val="11782A26"/>
    <w:rsid w:val="13141499"/>
    <w:rsid w:val="131D034D"/>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E52B34"/>
    <w:rsid w:val="18130842"/>
    <w:rsid w:val="18465822"/>
    <w:rsid w:val="18675712"/>
    <w:rsid w:val="188B43F5"/>
    <w:rsid w:val="18E50010"/>
    <w:rsid w:val="18F71640"/>
    <w:rsid w:val="19394057"/>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796C4F"/>
    <w:rsid w:val="21C45BE8"/>
    <w:rsid w:val="21F678C9"/>
    <w:rsid w:val="21F94F0D"/>
    <w:rsid w:val="224F1BA5"/>
    <w:rsid w:val="22966C23"/>
    <w:rsid w:val="22EF7055"/>
    <w:rsid w:val="231132FF"/>
    <w:rsid w:val="23743B1F"/>
    <w:rsid w:val="240C0392"/>
    <w:rsid w:val="24514D5A"/>
    <w:rsid w:val="249D6466"/>
    <w:rsid w:val="24AB13E3"/>
    <w:rsid w:val="24CC6750"/>
    <w:rsid w:val="254D6667"/>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CD4235"/>
    <w:rsid w:val="28D01566"/>
    <w:rsid w:val="28E31299"/>
    <w:rsid w:val="293D6BFB"/>
    <w:rsid w:val="29430470"/>
    <w:rsid w:val="29A81CF0"/>
    <w:rsid w:val="2A0812C8"/>
    <w:rsid w:val="2AAF0092"/>
    <w:rsid w:val="2B3D6767"/>
    <w:rsid w:val="2B57565F"/>
    <w:rsid w:val="2BBD2276"/>
    <w:rsid w:val="2C6F70AF"/>
    <w:rsid w:val="2C812A23"/>
    <w:rsid w:val="2CDF621C"/>
    <w:rsid w:val="2CF2794B"/>
    <w:rsid w:val="2D9073ED"/>
    <w:rsid w:val="2DDB0955"/>
    <w:rsid w:val="2E4A05E4"/>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C4F6F1A"/>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AC0F39"/>
    <w:rsid w:val="461B60BF"/>
    <w:rsid w:val="46607149"/>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BE5CAD"/>
    <w:rsid w:val="4DD75684"/>
    <w:rsid w:val="4E0D2518"/>
    <w:rsid w:val="4E231003"/>
    <w:rsid w:val="4E3873B7"/>
    <w:rsid w:val="4E3958A5"/>
    <w:rsid w:val="4E9956DB"/>
    <w:rsid w:val="4EF70D4B"/>
    <w:rsid w:val="4F2E0C11"/>
    <w:rsid w:val="4F79418A"/>
    <w:rsid w:val="4FEA695B"/>
    <w:rsid w:val="50472E90"/>
    <w:rsid w:val="50A2078E"/>
    <w:rsid w:val="50B9275C"/>
    <w:rsid w:val="50F72CC9"/>
    <w:rsid w:val="50FE286B"/>
    <w:rsid w:val="514069D9"/>
    <w:rsid w:val="51932220"/>
    <w:rsid w:val="51D77CAA"/>
    <w:rsid w:val="52173BDE"/>
    <w:rsid w:val="5228244C"/>
    <w:rsid w:val="529620AE"/>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B1E275D"/>
    <w:rsid w:val="5B3E21DC"/>
    <w:rsid w:val="5B4A5024"/>
    <w:rsid w:val="5B895001"/>
    <w:rsid w:val="5BBD57F6"/>
    <w:rsid w:val="5BC414F3"/>
    <w:rsid w:val="5C953453"/>
    <w:rsid w:val="5CAE15E3"/>
    <w:rsid w:val="5CB84A88"/>
    <w:rsid w:val="5CD86660"/>
    <w:rsid w:val="5D290C69"/>
    <w:rsid w:val="5DEE479F"/>
    <w:rsid w:val="5E254884"/>
    <w:rsid w:val="5E36741C"/>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69072D"/>
    <w:rsid w:val="62A30CCB"/>
    <w:rsid w:val="62F24507"/>
    <w:rsid w:val="6352606D"/>
    <w:rsid w:val="639436E3"/>
    <w:rsid w:val="6445282D"/>
    <w:rsid w:val="645A13DB"/>
    <w:rsid w:val="645A646C"/>
    <w:rsid w:val="648C045C"/>
    <w:rsid w:val="64CA3B69"/>
    <w:rsid w:val="656A40F1"/>
    <w:rsid w:val="658C5E23"/>
    <w:rsid w:val="65F9363E"/>
    <w:rsid w:val="662057C9"/>
    <w:rsid w:val="66426E7D"/>
    <w:rsid w:val="66542FCE"/>
    <w:rsid w:val="66744448"/>
    <w:rsid w:val="667E25AF"/>
    <w:rsid w:val="66815672"/>
    <w:rsid w:val="67152E14"/>
    <w:rsid w:val="67770DF7"/>
    <w:rsid w:val="679C27B9"/>
    <w:rsid w:val="67CB3049"/>
    <w:rsid w:val="67FF2A16"/>
    <w:rsid w:val="682465CF"/>
    <w:rsid w:val="68EA74FF"/>
    <w:rsid w:val="692145AA"/>
    <w:rsid w:val="6972525B"/>
    <w:rsid w:val="69C211FB"/>
    <w:rsid w:val="69FC5E8B"/>
    <w:rsid w:val="6A16113C"/>
    <w:rsid w:val="6A531D75"/>
    <w:rsid w:val="6AD14E1A"/>
    <w:rsid w:val="6AE1793A"/>
    <w:rsid w:val="6AF96096"/>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A047F7"/>
    <w:rsid w:val="6EFB5292"/>
    <w:rsid w:val="6F062BB9"/>
    <w:rsid w:val="6F185329"/>
    <w:rsid w:val="6F213E8F"/>
    <w:rsid w:val="70E64A50"/>
    <w:rsid w:val="71231A63"/>
    <w:rsid w:val="714B6E37"/>
    <w:rsid w:val="71C72BEE"/>
    <w:rsid w:val="72AA2579"/>
    <w:rsid w:val="73614D85"/>
    <w:rsid w:val="7363682B"/>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83BAE"/>
    <w:rsid w:val="7CBD0742"/>
    <w:rsid w:val="7CC601EC"/>
    <w:rsid w:val="7D162D31"/>
    <w:rsid w:val="7D3B25C7"/>
    <w:rsid w:val="7D597E6F"/>
    <w:rsid w:val="7D7D55A3"/>
    <w:rsid w:val="7DE81FDD"/>
    <w:rsid w:val="7E3C60AD"/>
    <w:rsid w:val="7EA60D98"/>
    <w:rsid w:val="7EC565EC"/>
    <w:rsid w:val="7EC63F6D"/>
    <w:rsid w:val="7EEF5417"/>
    <w:rsid w:val="7F0D3AEF"/>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4">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2">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3"/>
    <w:autoRedefine/>
    <w:qFormat/>
    <w:uiPriority w:val="0"/>
    <w:rPr>
      <w:rFonts w:ascii="宋体" w:hAnsi="Times New Roman" w:eastAsia="宋体" w:cs="Times New Roman"/>
      <w:sz w:val="28"/>
      <w:szCs w:val="20"/>
    </w:rPr>
  </w:style>
  <w:style w:type="character" w:customStyle="1" w:styleId="70">
    <w:name w:val="标题 2 Char"/>
    <w:basedOn w:val="60"/>
    <w:link w:val="4"/>
    <w:autoRedefine/>
    <w:qFormat/>
    <w:uiPriority w:val="0"/>
    <w:rPr>
      <w:rFonts w:ascii="Arial" w:hAnsi="Arial" w:eastAsia="黑体" w:cs="Times New Roman"/>
      <w:b/>
      <w:sz w:val="32"/>
      <w:szCs w:val="20"/>
    </w:rPr>
  </w:style>
  <w:style w:type="character" w:customStyle="1" w:styleId="71">
    <w:name w:val="标题 3 Char"/>
    <w:basedOn w:val="60"/>
    <w:link w:val="2"/>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4"/>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2"/>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3"/>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3"/>
    <w:next w:val="3"/>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4"/>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2"/>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3"/>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6766</Words>
  <Characters>6885</Characters>
  <Lines>182</Lines>
  <Paragraphs>51</Paragraphs>
  <TotalTime>3</TotalTime>
  <ScaleCrop>false</ScaleCrop>
  <LinksUpToDate>false</LinksUpToDate>
  <CharactersWithSpaces>6954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2026-08-10T00:04:26Z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